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C1DC" w14:textId="64BF1ED4" w:rsidR="002A6E46" w:rsidRPr="00864D54" w:rsidRDefault="00B00E5A" w:rsidP="00450C88">
      <w:pPr>
        <w:pStyle w:val="Retraitcorpsdetexte3"/>
      </w:pPr>
      <w:r w:rsidRPr="00864D54">
        <w:t xml:space="preserve">Accord </w:t>
      </w:r>
      <w:r w:rsidR="004A40B0" w:rsidRPr="00864D54">
        <w:t>n°20</w:t>
      </w:r>
      <w:r w:rsidR="00576730" w:rsidRPr="00864D54">
        <w:t>2</w:t>
      </w:r>
      <w:r w:rsidRPr="00864D54">
        <w:t>2</w:t>
      </w:r>
      <w:r w:rsidR="004A40B0" w:rsidRPr="00864D54">
        <w:t>-</w:t>
      </w:r>
      <w:r w:rsidRPr="00864D54">
        <w:t>7</w:t>
      </w:r>
      <w:r w:rsidR="004A40B0" w:rsidRPr="00864D54">
        <w:t xml:space="preserve"> </w:t>
      </w:r>
      <w:r w:rsidR="00576730" w:rsidRPr="00864D54">
        <w:t xml:space="preserve">du </w:t>
      </w:r>
      <w:r w:rsidR="00893701">
        <w:t>12 décembre 2022</w:t>
      </w:r>
    </w:p>
    <w:p w14:paraId="76891D6C" w14:textId="2E33562A" w:rsidR="008B1251" w:rsidRPr="00864D54" w:rsidRDefault="004A40B0" w:rsidP="00450C88">
      <w:pPr>
        <w:pStyle w:val="Retraitcorpsdetexte3"/>
      </w:pPr>
      <w:r w:rsidRPr="00864D54">
        <w:t xml:space="preserve">portant sur la méthode adoptée </w:t>
      </w:r>
      <w:r w:rsidR="00914112" w:rsidRPr="00864D54">
        <w:t xml:space="preserve">en vue de la </w:t>
      </w:r>
      <w:r w:rsidR="00B00E5A" w:rsidRPr="00864D54">
        <w:t>négociation relative aux sal</w:t>
      </w:r>
      <w:r w:rsidR="001F7A6A" w:rsidRPr="00864D54">
        <w:t>a</w:t>
      </w:r>
      <w:r w:rsidR="00B00E5A" w:rsidRPr="00864D54">
        <w:t xml:space="preserve">ires minima hiérarchiques </w:t>
      </w:r>
      <w:r w:rsidR="001F7A6A" w:rsidRPr="00864D54">
        <w:t xml:space="preserve">et des classifications </w:t>
      </w:r>
      <w:r w:rsidR="00926C73">
        <w:t>et fixant un agenda social</w:t>
      </w:r>
    </w:p>
    <w:p w14:paraId="053AB72B" w14:textId="77777777" w:rsidR="008B1251" w:rsidRPr="00864D54" w:rsidRDefault="008B1251" w:rsidP="000338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891A2F2" w14:textId="77777777" w:rsidR="0006370D" w:rsidRPr="00864D54" w:rsidRDefault="0006370D" w:rsidP="00E02413">
      <w:pPr>
        <w:pStyle w:val="Titre8"/>
      </w:pPr>
      <w:bookmarkStart w:id="0" w:name="_Hlk42517881"/>
      <w:r w:rsidRPr="00864D54">
        <w:t xml:space="preserve">Préambule </w:t>
      </w:r>
    </w:p>
    <w:p w14:paraId="1D44F44A" w14:textId="29FF880D" w:rsidR="00343840" w:rsidRPr="00BF1F0F" w:rsidRDefault="0034384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F1F0F">
        <w:rPr>
          <w:rFonts w:ascii="Century Gothic" w:hAnsi="Century Gothic" w:cs="Arial"/>
        </w:rPr>
        <w:t xml:space="preserve">Une négociation sur les « grilles de salaires » a été ouverte le 15 septembre 2022. </w:t>
      </w:r>
    </w:p>
    <w:p w14:paraId="4B1327F9" w14:textId="25B61774" w:rsidR="00343840" w:rsidRPr="00BF1F0F" w:rsidRDefault="0034384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F1F0F">
        <w:rPr>
          <w:rFonts w:ascii="Century Gothic" w:hAnsi="Century Gothic" w:cs="Arial"/>
        </w:rPr>
        <w:t>Les organisations représentatives ont travaillé sur deux axes prioritaires</w:t>
      </w:r>
      <w:r w:rsidR="00893701" w:rsidRPr="00BF1F0F">
        <w:rPr>
          <w:rFonts w:ascii="Century Gothic" w:hAnsi="Century Gothic" w:cs="Arial"/>
        </w:rPr>
        <w:t> :</w:t>
      </w:r>
    </w:p>
    <w:p w14:paraId="77033022" w14:textId="7DDC532E" w:rsidR="00343840" w:rsidRPr="00BF1F0F" w:rsidRDefault="00343840" w:rsidP="00343840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BF1F0F">
        <w:rPr>
          <w:rFonts w:ascii="Century Gothic" w:hAnsi="Century Gothic" w:cs="Arial"/>
          <w:sz w:val="22"/>
          <w:szCs w:val="22"/>
          <w:lang w:val="fr-FR"/>
        </w:rPr>
        <w:t xml:space="preserve">la sensibilité au SMIC ; </w:t>
      </w:r>
    </w:p>
    <w:p w14:paraId="16C02BB6" w14:textId="087002C7" w:rsidR="00343840" w:rsidRPr="00BF1F0F" w:rsidRDefault="00343840" w:rsidP="00343840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BF1F0F">
        <w:rPr>
          <w:rFonts w:ascii="Century Gothic" w:hAnsi="Century Gothic" w:cs="Arial"/>
          <w:sz w:val="22"/>
          <w:szCs w:val="22"/>
          <w:lang w:val="fr-FR"/>
        </w:rPr>
        <w:t xml:space="preserve">l’écrasement des grilles. </w:t>
      </w:r>
    </w:p>
    <w:p w14:paraId="16A412D0" w14:textId="7EC7C96B" w:rsidR="00343840" w:rsidRPr="00BF1F0F" w:rsidRDefault="0034384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51870229" w14:textId="0B96409A" w:rsidR="00343840" w:rsidRDefault="0034384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64D54">
        <w:rPr>
          <w:rFonts w:ascii="Century Gothic" w:hAnsi="Century Gothic" w:cs="Arial"/>
        </w:rPr>
        <w:t>La nécessité de travailler en profondeur les situations, les impacts économiques et sociaux, le rendez-vous de la négociation sur les salaires prévue en mars 2023, le nécessaire étalement des mesures et la porosité de réflexions entre classifications et salaire minim</w:t>
      </w:r>
      <w:r w:rsidR="00893701">
        <w:rPr>
          <w:rFonts w:ascii="Century Gothic" w:hAnsi="Century Gothic" w:cs="Arial"/>
        </w:rPr>
        <w:t>a</w:t>
      </w:r>
      <w:r w:rsidRPr="00864D54">
        <w:rPr>
          <w:rFonts w:ascii="Century Gothic" w:hAnsi="Century Gothic" w:cs="Arial"/>
        </w:rPr>
        <w:t xml:space="preserve"> hiérarchique</w:t>
      </w:r>
      <w:r w:rsidR="00893701">
        <w:rPr>
          <w:rFonts w:ascii="Century Gothic" w:hAnsi="Century Gothic" w:cs="Arial"/>
        </w:rPr>
        <w:t>s</w:t>
      </w:r>
      <w:r w:rsidRPr="00864D54">
        <w:rPr>
          <w:rFonts w:ascii="Century Gothic" w:hAnsi="Century Gothic" w:cs="Arial"/>
        </w:rPr>
        <w:t xml:space="preserve"> dans le système actuel conduisent à envisager une négociation plus large</w:t>
      </w:r>
      <w:r w:rsidR="00203208">
        <w:rPr>
          <w:rFonts w:ascii="Century Gothic" w:hAnsi="Century Gothic" w:cs="Arial"/>
        </w:rPr>
        <w:t xml:space="preserve"> embrassant la négociation quinquennale sur les classifications prévue à l</w:t>
      </w:r>
      <w:r w:rsidR="00203208" w:rsidRPr="00864D54">
        <w:rPr>
          <w:rFonts w:ascii="Century Gothic" w:hAnsi="Century Gothic"/>
        </w:rPr>
        <w:t>’article L. 2241-1</w:t>
      </w:r>
      <w:r w:rsidR="00203208">
        <w:rPr>
          <w:rFonts w:ascii="Century Gothic" w:hAnsi="Century Gothic"/>
        </w:rPr>
        <w:t>, 6°</w:t>
      </w:r>
      <w:r w:rsidR="00203208" w:rsidRPr="00864D54">
        <w:rPr>
          <w:rFonts w:ascii="Century Gothic" w:hAnsi="Century Gothic"/>
        </w:rPr>
        <w:t xml:space="preserve"> du code du travail</w:t>
      </w:r>
      <w:r w:rsidRPr="00864D54">
        <w:rPr>
          <w:rFonts w:ascii="Century Gothic" w:hAnsi="Century Gothic" w:cs="Arial"/>
        </w:rPr>
        <w:t>.</w:t>
      </w:r>
    </w:p>
    <w:p w14:paraId="6FB3DC2C" w14:textId="77777777" w:rsidR="00343840" w:rsidRPr="00864D54" w:rsidRDefault="0034384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14:paraId="68F5F341" w14:textId="7727024E" w:rsidR="001F7A6A" w:rsidRPr="00864D54" w:rsidRDefault="00576730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64D54">
        <w:rPr>
          <w:rFonts w:ascii="Century Gothic" w:hAnsi="Century Gothic" w:cs="Arial"/>
        </w:rPr>
        <w:t>L</w:t>
      </w:r>
      <w:r w:rsidR="001F7A6A" w:rsidRPr="00864D54">
        <w:rPr>
          <w:rFonts w:ascii="Century Gothic" w:hAnsi="Century Gothic" w:cs="Arial"/>
        </w:rPr>
        <w:t xml:space="preserve">ors de la CPPNI EPNL du 12 décembre 2022, les organisations représentatives ont </w:t>
      </w:r>
      <w:r w:rsidR="00343840" w:rsidRPr="00864D54">
        <w:rPr>
          <w:rFonts w:ascii="Century Gothic" w:hAnsi="Century Gothic" w:cs="Arial"/>
        </w:rPr>
        <w:t xml:space="preserve">donc </w:t>
      </w:r>
      <w:r w:rsidR="001F7A6A" w:rsidRPr="00864D54">
        <w:rPr>
          <w:rFonts w:ascii="Century Gothic" w:hAnsi="Century Gothic" w:cs="Arial"/>
        </w:rPr>
        <w:t xml:space="preserve">décidé d’engager une négociation : </w:t>
      </w:r>
    </w:p>
    <w:p w14:paraId="7E01F4F0" w14:textId="77CE510E" w:rsidR="001F7A6A" w:rsidRPr="00864D54" w:rsidRDefault="00343840" w:rsidP="001F7A6A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864D54">
        <w:rPr>
          <w:rFonts w:ascii="Century Gothic" w:hAnsi="Century Gothic" w:cs="Arial"/>
          <w:sz w:val="22"/>
          <w:szCs w:val="22"/>
          <w:lang w:val="fr-FR"/>
        </w:rPr>
        <w:t>s</w:t>
      </w:r>
      <w:r w:rsidR="001F7A6A" w:rsidRPr="00864D54">
        <w:rPr>
          <w:rFonts w:ascii="Century Gothic" w:hAnsi="Century Gothic" w:cs="Arial"/>
          <w:sz w:val="22"/>
          <w:szCs w:val="22"/>
          <w:lang w:val="fr-FR"/>
        </w:rPr>
        <w:t>ur les salaires minima hiérarchiques</w:t>
      </w:r>
      <w:r w:rsidR="00252B5E">
        <w:rPr>
          <w:rFonts w:ascii="Century Gothic" w:hAnsi="Century Gothic" w:cs="Arial"/>
          <w:sz w:val="22"/>
          <w:szCs w:val="22"/>
          <w:lang w:val="fr-FR"/>
        </w:rPr>
        <w:t> ;</w:t>
      </w:r>
    </w:p>
    <w:p w14:paraId="3965CF1D" w14:textId="2E9053B0" w:rsidR="001F7A6A" w:rsidRPr="00864D54" w:rsidRDefault="001F7A6A" w:rsidP="001F7A6A">
      <w:pPr>
        <w:pStyle w:val="Paragraphedeliste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864D54">
        <w:rPr>
          <w:rFonts w:ascii="Century Gothic" w:hAnsi="Century Gothic" w:cs="Arial"/>
          <w:sz w:val="22"/>
          <w:szCs w:val="22"/>
          <w:lang w:val="fr-FR"/>
        </w:rPr>
        <w:t>et les classifications</w:t>
      </w:r>
      <w:r w:rsidR="00343840" w:rsidRPr="00864D54">
        <w:rPr>
          <w:rFonts w:ascii="Century Gothic" w:hAnsi="Century Gothic" w:cs="Arial"/>
          <w:sz w:val="22"/>
          <w:szCs w:val="22"/>
          <w:lang w:val="fr-FR"/>
        </w:rPr>
        <w:t>.</w:t>
      </w:r>
      <w:r w:rsidRPr="00864D54">
        <w:rPr>
          <w:rFonts w:ascii="Century Gothic" w:hAnsi="Century Gothic" w:cs="Arial"/>
          <w:sz w:val="22"/>
          <w:szCs w:val="22"/>
          <w:lang w:val="fr-FR"/>
        </w:rPr>
        <w:t xml:space="preserve"> </w:t>
      </w:r>
    </w:p>
    <w:p w14:paraId="50F7AC50" w14:textId="77777777" w:rsidR="00343840" w:rsidRPr="00864D54" w:rsidRDefault="00343840" w:rsidP="00670FF1">
      <w:pPr>
        <w:spacing w:after="0" w:line="240" w:lineRule="auto"/>
        <w:jc w:val="both"/>
        <w:rPr>
          <w:rFonts w:ascii="Century Gothic" w:hAnsi="Century Gothic"/>
        </w:rPr>
      </w:pPr>
    </w:p>
    <w:p w14:paraId="5D49F8C6" w14:textId="71E74965" w:rsidR="00670FF1" w:rsidRPr="00864D54" w:rsidRDefault="00670FF1" w:rsidP="00670FF1">
      <w:pPr>
        <w:spacing w:after="0" w:line="240" w:lineRule="auto"/>
        <w:jc w:val="both"/>
        <w:rPr>
          <w:rFonts w:ascii="Century Gothic" w:hAnsi="Century Gothic"/>
        </w:rPr>
      </w:pPr>
      <w:r w:rsidRPr="00864D54">
        <w:rPr>
          <w:rFonts w:ascii="Century Gothic" w:hAnsi="Century Gothic"/>
        </w:rPr>
        <w:t>Conformément aux dispositions du code du travail</w:t>
      </w:r>
      <w:r w:rsidRPr="00864D54">
        <w:rPr>
          <w:rFonts w:ascii="Century Gothic" w:hAnsi="Century Gothic"/>
          <w:vertAlign w:val="superscript"/>
        </w:rPr>
        <w:footnoteReference w:id="1"/>
      </w:r>
      <w:r w:rsidRPr="00864D54">
        <w:rPr>
          <w:rFonts w:ascii="Century Gothic" w:hAnsi="Century Gothic"/>
          <w:vertAlign w:val="superscript"/>
        </w:rPr>
        <w:t>,</w:t>
      </w:r>
      <w:r w:rsidRPr="00864D54">
        <w:rPr>
          <w:rFonts w:ascii="Century Gothic" w:hAnsi="Century Gothic"/>
        </w:rPr>
        <w:t xml:space="preserve"> et de l’article 1.2.1.1 c) de la CC EPNL le présent accord de méthode fixe :</w:t>
      </w:r>
    </w:p>
    <w:p w14:paraId="79D9A662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>les thèmes et le périmètre des négociations ;</w:t>
      </w:r>
    </w:p>
    <w:p w14:paraId="2DD0F15E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 xml:space="preserve">les objectifs communs de la négociation ; </w:t>
      </w:r>
    </w:p>
    <w:p w14:paraId="43C86F0D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>le temps consacré à la négociation et le calendrier pour la conduire (nombre de réunions et thèmes abordés par réunion) ;</w:t>
      </w:r>
    </w:p>
    <w:p w14:paraId="7B591FA2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 xml:space="preserve">les règles et délais d’examen des documents (initiaux et ceux rédigés en rebond) ; </w:t>
      </w:r>
    </w:p>
    <w:p w14:paraId="251F88DB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>la nature des informations partagées entre les négociateurs ;</w:t>
      </w:r>
    </w:p>
    <w:p w14:paraId="45D20EE7" w14:textId="77777777" w:rsidR="00670FF1" w:rsidRPr="00864D54" w:rsidRDefault="00670FF1" w:rsidP="00670FF1">
      <w:pPr>
        <w:pStyle w:val="Paragraphedeliste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864D54">
        <w:rPr>
          <w:rFonts w:ascii="Century Gothic" w:hAnsi="Century Gothic"/>
          <w:sz w:val="22"/>
          <w:szCs w:val="22"/>
        </w:rPr>
        <w:t>en fonction de la technicité du sujet traité, la méthode de préparation par les représentants des deux collèges et les moyens des salariés mandatés par les organisations (nombre de demi-journées de préparation, prise en charge du salaire et des frais engagés, recours à d’éventuels experts, formation commune, etc.).</w:t>
      </w:r>
    </w:p>
    <w:p w14:paraId="2692897D" w14:textId="77777777" w:rsidR="00670FF1" w:rsidRPr="00864D54" w:rsidRDefault="00670FF1" w:rsidP="00670FF1">
      <w:pPr>
        <w:pStyle w:val="Paragraphedeliste"/>
        <w:rPr>
          <w:rFonts w:ascii="Century Gothic" w:hAnsi="Century Gothic"/>
          <w:sz w:val="22"/>
          <w:szCs w:val="22"/>
        </w:rPr>
      </w:pPr>
    </w:p>
    <w:p w14:paraId="238CEED1" w14:textId="50872A6D" w:rsidR="00990B87" w:rsidRPr="00864D54" w:rsidRDefault="00584D2B" w:rsidP="00670FF1">
      <w:pPr>
        <w:spacing w:after="0" w:line="240" w:lineRule="auto"/>
        <w:jc w:val="both"/>
        <w:rPr>
          <w:rFonts w:ascii="Century Gothic" w:hAnsi="Century Gothic"/>
        </w:rPr>
      </w:pPr>
      <w:r w:rsidRPr="00864D54">
        <w:rPr>
          <w:rFonts w:ascii="Century Gothic" w:hAnsi="Century Gothic"/>
        </w:rPr>
        <w:t xml:space="preserve">L’observatoire paritaire du dialogue social EPNL est sollicité pour réaliser </w:t>
      </w:r>
      <w:r w:rsidR="00670FF1" w:rsidRPr="00864D54">
        <w:rPr>
          <w:rFonts w:ascii="Century Gothic" w:hAnsi="Century Gothic"/>
        </w:rPr>
        <w:t xml:space="preserve">un point de situation objectif </w:t>
      </w:r>
      <w:r w:rsidRPr="00864D54">
        <w:rPr>
          <w:rFonts w:ascii="Century Gothic" w:hAnsi="Century Gothic"/>
        </w:rPr>
        <w:t>en vue de la rédaction d’</w:t>
      </w:r>
      <w:r w:rsidR="00670FF1" w:rsidRPr="00864D54">
        <w:rPr>
          <w:rFonts w:ascii="Century Gothic" w:hAnsi="Century Gothic"/>
        </w:rPr>
        <w:t xml:space="preserve">un diagnostic et </w:t>
      </w:r>
      <w:r w:rsidRPr="00864D54">
        <w:rPr>
          <w:rFonts w:ascii="Century Gothic" w:hAnsi="Century Gothic"/>
        </w:rPr>
        <w:t>d’</w:t>
      </w:r>
      <w:r w:rsidR="00670FF1" w:rsidRPr="00864D54">
        <w:rPr>
          <w:rFonts w:ascii="Century Gothic" w:hAnsi="Century Gothic"/>
        </w:rPr>
        <w:t xml:space="preserve">un bilan partagés. </w:t>
      </w:r>
    </w:p>
    <w:p w14:paraId="25D91015" w14:textId="358C4013" w:rsidR="00584D2B" w:rsidRPr="00864D54" w:rsidRDefault="00584D2B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6082D871" w14:textId="2A2E61FB" w:rsidR="00864D54" w:rsidRPr="00864D54" w:rsidRDefault="00864D54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864D54">
        <w:rPr>
          <w:rFonts w:ascii="Century Gothic" w:hAnsi="Century Gothic"/>
        </w:rPr>
        <w:t xml:space="preserve">Le présent accord fixe l’agenda social pluriannuel au sens de l’article </w:t>
      </w:r>
      <w:r w:rsidRPr="00864D54">
        <w:rPr>
          <w:rFonts w:ascii="Century Gothic" w:hAnsi="Century Gothic" w:cs="Arial"/>
          <w:color w:val="000000"/>
          <w:sz w:val="21"/>
          <w:szCs w:val="21"/>
        </w:rPr>
        <w:t>L. 2241-5 du code du travail.</w:t>
      </w:r>
    </w:p>
    <w:bookmarkEnd w:id="0"/>
    <w:p w14:paraId="00F73409" w14:textId="77777777" w:rsidR="0010519F" w:rsidRPr="00864D54" w:rsidRDefault="0010519F">
      <w:pPr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  <w:r w:rsidRPr="00864D54">
        <w:rPr>
          <w:rFonts w:ascii="Century Gothic" w:hAnsi="Century Gothic" w:cs="Arial"/>
          <w:b/>
          <w:sz w:val="32"/>
          <w:szCs w:val="32"/>
        </w:rPr>
        <w:br w:type="page"/>
      </w:r>
    </w:p>
    <w:p w14:paraId="591C545C" w14:textId="073AFE13" w:rsidR="000862FC" w:rsidRPr="00864D54" w:rsidRDefault="00004F7A" w:rsidP="00343840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lastRenderedPageBreak/>
        <w:t>Article 1</w:t>
      </w:r>
      <w:r w:rsidRPr="00864D54">
        <w:rPr>
          <w:rFonts w:ascii="Century Gothic" w:hAnsi="Century Gothic"/>
          <w:color w:val="1F497D"/>
          <w:vertAlign w:val="superscript"/>
        </w:rPr>
        <w:t>er</w:t>
      </w:r>
      <w:r w:rsidR="00F17641">
        <w:rPr>
          <w:rFonts w:ascii="Century Gothic" w:hAnsi="Century Gothic"/>
          <w:color w:val="1F497D"/>
        </w:rPr>
        <w:t xml:space="preserve"> : </w:t>
      </w:r>
      <w:r w:rsidR="00343840" w:rsidRPr="00864D54">
        <w:rPr>
          <w:rFonts w:ascii="Century Gothic" w:hAnsi="Century Gothic"/>
          <w:color w:val="1F497D"/>
        </w:rPr>
        <w:t xml:space="preserve">Champ d’application </w:t>
      </w:r>
    </w:p>
    <w:p w14:paraId="5E0A28AE" w14:textId="3499C303" w:rsidR="000862FC" w:rsidRPr="00864D54" w:rsidRDefault="00343840" w:rsidP="00086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864D54">
        <w:rPr>
          <w:rFonts w:ascii="Century Gothic" w:hAnsi="Century Gothic" w:cs="Arial"/>
          <w:color w:val="000000"/>
          <w:shd w:val="clear" w:color="auto" w:fill="FFFFFF"/>
        </w:rPr>
        <w:t>Le Champ d’application de l’accord est celui de la Convention collective EPNL.</w:t>
      </w:r>
    </w:p>
    <w:p w14:paraId="46C78370" w14:textId="77777777" w:rsidR="000862FC" w:rsidRPr="00864D54" w:rsidRDefault="000862FC" w:rsidP="0003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hd w:val="clear" w:color="auto" w:fill="FFFFFF"/>
        </w:rPr>
      </w:pPr>
    </w:p>
    <w:p w14:paraId="445913FA" w14:textId="4784D73B" w:rsidR="00343840" w:rsidRPr="00864D54" w:rsidRDefault="00343840" w:rsidP="00343840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t>Article 2</w:t>
      </w:r>
      <w:r w:rsidR="00F17641">
        <w:rPr>
          <w:rFonts w:ascii="Century Gothic" w:hAnsi="Century Gothic"/>
          <w:color w:val="1F497D"/>
        </w:rPr>
        <w:t xml:space="preserve"> : </w:t>
      </w:r>
      <w:r w:rsidRPr="00864D54">
        <w:rPr>
          <w:rFonts w:ascii="Century Gothic" w:hAnsi="Century Gothic"/>
          <w:color w:val="1F497D"/>
        </w:rPr>
        <w:t>Principes généraux de la négociation</w:t>
      </w:r>
    </w:p>
    <w:p w14:paraId="2860484C" w14:textId="41D2DC7D" w:rsidR="00343840" w:rsidRPr="00864D54" w:rsidRDefault="00343840" w:rsidP="00343840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 xml:space="preserve">La CPPNI EPNL travaille </w:t>
      </w:r>
      <w:r w:rsidR="00784554">
        <w:rPr>
          <w:rFonts w:ascii="Century Gothic" w:eastAsia="Batang" w:hAnsi="Century Gothic"/>
          <w:bCs/>
        </w:rPr>
        <w:t xml:space="preserve">en vue de la révision du chapitre 4 </w:t>
      </w:r>
      <w:r w:rsidRPr="00864D54">
        <w:rPr>
          <w:rFonts w:ascii="Century Gothic" w:eastAsia="Batang" w:hAnsi="Century Gothic"/>
          <w:bCs/>
        </w:rPr>
        <w:t>de la Convention Collective EPNL en cours d’application</w:t>
      </w:r>
      <w:r w:rsidR="00784554">
        <w:rPr>
          <w:rFonts w:ascii="Century Gothic" w:eastAsia="Batang" w:hAnsi="Century Gothic"/>
          <w:bCs/>
        </w:rPr>
        <w:t xml:space="preserve"> et des annexes</w:t>
      </w:r>
      <w:r w:rsidRPr="00864D54">
        <w:rPr>
          <w:rFonts w:ascii="Century Gothic" w:eastAsia="Batang" w:hAnsi="Century Gothic"/>
          <w:bCs/>
        </w:rPr>
        <w:t>.</w:t>
      </w:r>
    </w:p>
    <w:p w14:paraId="10C2435C" w14:textId="77777777" w:rsidR="00343840" w:rsidRPr="00864D54" w:rsidRDefault="00343840" w:rsidP="00343840">
      <w:pPr>
        <w:spacing w:after="120" w:line="240" w:lineRule="auto"/>
        <w:jc w:val="both"/>
        <w:rPr>
          <w:rFonts w:ascii="Century Gothic" w:hAnsi="Century Gothic"/>
        </w:rPr>
      </w:pPr>
      <w:r w:rsidRPr="00864D54">
        <w:rPr>
          <w:rFonts w:ascii="Century Gothic" w:hAnsi="Century Gothic"/>
        </w:rPr>
        <w:t>Aucun élément de la négociation ne pourra être considéré isolément comme définitif. La validation par les parties se fera sur un texte global.</w:t>
      </w:r>
    </w:p>
    <w:p w14:paraId="7D3010CD" w14:textId="11074CB2" w:rsidR="00343840" w:rsidRDefault="00343840" w:rsidP="00343840">
      <w:pPr>
        <w:spacing w:after="120" w:line="240" w:lineRule="auto"/>
        <w:jc w:val="both"/>
        <w:rPr>
          <w:rFonts w:ascii="Century Gothic" w:hAnsi="Century Gothic"/>
        </w:rPr>
      </w:pPr>
      <w:r w:rsidRPr="00864D54">
        <w:rPr>
          <w:rFonts w:ascii="Century Gothic" w:hAnsi="Century Gothic"/>
        </w:rPr>
        <w:t>L’équilibre général du projet sera donc appréhendé par chacune des parties au terme de la négociation.</w:t>
      </w:r>
    </w:p>
    <w:p w14:paraId="60161337" w14:textId="77777777" w:rsidR="00893701" w:rsidRPr="00864D54" w:rsidRDefault="00893701" w:rsidP="00343840">
      <w:pPr>
        <w:spacing w:after="120" w:line="240" w:lineRule="auto"/>
        <w:jc w:val="both"/>
        <w:rPr>
          <w:rFonts w:ascii="Century Gothic" w:hAnsi="Century Gothic"/>
        </w:rPr>
      </w:pPr>
    </w:p>
    <w:p w14:paraId="77AA8E53" w14:textId="18EB4BCF" w:rsidR="00343840" w:rsidRPr="00864D54" w:rsidRDefault="00343840" w:rsidP="00343840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t>Article 3</w:t>
      </w:r>
      <w:r w:rsidR="00F17641">
        <w:rPr>
          <w:rFonts w:ascii="Century Gothic" w:hAnsi="Century Gothic"/>
          <w:color w:val="1F497D"/>
        </w:rPr>
        <w:t xml:space="preserve"> : </w:t>
      </w:r>
      <w:r w:rsidRPr="00864D54">
        <w:rPr>
          <w:rFonts w:ascii="Century Gothic" w:hAnsi="Century Gothic"/>
          <w:color w:val="1F497D"/>
        </w:rPr>
        <w:t>Composition - mandatement</w:t>
      </w:r>
    </w:p>
    <w:p w14:paraId="3A8287DF" w14:textId="053103D2" w:rsidR="00343840" w:rsidRPr="00864D54" w:rsidRDefault="00343840" w:rsidP="00D47712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 xml:space="preserve">La négociation se déroule dans le cadre de la CPPNI EPNL. </w:t>
      </w:r>
    </w:p>
    <w:p w14:paraId="340A19D0" w14:textId="37DB54B5" w:rsidR="0073549B" w:rsidRPr="00864D54" w:rsidRDefault="00343840" w:rsidP="00D47712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>Elle peut requérir la présence d’un expert. Cela donnera lieu à programmation préalable et information de toute</w:t>
      </w:r>
      <w:r w:rsidR="00D47712">
        <w:rPr>
          <w:rFonts w:ascii="Century Gothic" w:eastAsia="Batang" w:hAnsi="Century Gothic"/>
          <w:bCs/>
        </w:rPr>
        <w:t>s</w:t>
      </w:r>
      <w:r w:rsidRPr="00864D54">
        <w:rPr>
          <w:rFonts w:ascii="Century Gothic" w:eastAsia="Batang" w:hAnsi="Century Gothic"/>
          <w:bCs/>
        </w:rPr>
        <w:t xml:space="preserve"> les parties de sorte que la commission choisisse date et ordre du jour en conséquence. </w:t>
      </w:r>
    </w:p>
    <w:p w14:paraId="0E4261B2" w14:textId="77777777" w:rsidR="00C41473" w:rsidRPr="00864D54" w:rsidRDefault="00C41473" w:rsidP="00343840">
      <w:pPr>
        <w:spacing w:after="60"/>
        <w:rPr>
          <w:rFonts w:ascii="Century Gothic" w:eastAsia="Batang" w:hAnsi="Century Gothic"/>
          <w:bCs/>
        </w:rPr>
      </w:pPr>
    </w:p>
    <w:p w14:paraId="385A2319" w14:textId="05311F3D" w:rsidR="00343840" w:rsidRPr="00864D54" w:rsidRDefault="00343840" w:rsidP="000473D3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t>Article 4 Périmètre de la négociation</w:t>
      </w:r>
    </w:p>
    <w:p w14:paraId="75014833" w14:textId="050040D0" w:rsidR="00343840" w:rsidRPr="00864D54" w:rsidRDefault="00343840" w:rsidP="00343840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>En vue de dresser des constats partagés, les parties au présent accord s’accordent sur un périmètre de négociation défini ainsi</w:t>
      </w:r>
      <w:r w:rsidR="000536C6">
        <w:rPr>
          <w:rFonts w:ascii="Century Gothic" w:eastAsia="Batang" w:hAnsi="Century Gothic"/>
          <w:bCs/>
        </w:rPr>
        <w:t xml:space="preserve"> </w:t>
      </w:r>
      <w:r w:rsidRPr="00864D54">
        <w:rPr>
          <w:rFonts w:ascii="Century Gothic" w:eastAsia="Batang" w:hAnsi="Century Gothic"/>
          <w:bCs/>
        </w:rPr>
        <w:t>après bilan de mise en œuvre des classifications par les parties en présence</w:t>
      </w:r>
      <w:r w:rsidR="000536C6">
        <w:rPr>
          <w:rFonts w:ascii="Century Gothic" w:eastAsia="Batang" w:hAnsi="Century Gothic"/>
          <w:bCs/>
        </w:rPr>
        <w:t xml:space="preserve"> : </w:t>
      </w:r>
    </w:p>
    <w:p w14:paraId="5983487D" w14:textId="74DDA35F" w:rsidR="00C41473" w:rsidRPr="00D47712" w:rsidRDefault="00D47712" w:rsidP="00D47712">
      <w:pPr>
        <w:pStyle w:val="Paragraphedeliste"/>
        <w:numPr>
          <w:ilvl w:val="0"/>
          <w:numId w:val="42"/>
        </w:numPr>
        <w:spacing w:after="60" w:line="256" w:lineRule="auto"/>
        <w:jc w:val="left"/>
        <w:rPr>
          <w:rFonts w:ascii="Century Gothic" w:eastAsia="Batang" w:hAnsi="Century Gothic"/>
          <w:bCs/>
          <w:sz w:val="22"/>
          <w:szCs w:val="22"/>
        </w:rPr>
      </w:pPr>
      <w:bookmarkStart w:id="1" w:name="_Hlk121734263"/>
      <w:r>
        <w:rPr>
          <w:rFonts w:ascii="Century Gothic" w:eastAsia="Batang" w:hAnsi="Century Gothic"/>
          <w:bCs/>
          <w:sz w:val="22"/>
          <w:szCs w:val="22"/>
          <w:lang w:val="fr-FR"/>
        </w:rPr>
        <w:t>d</w:t>
      </w:r>
      <w:r w:rsidR="000473D3" w:rsidRPr="00D47712">
        <w:rPr>
          <w:rFonts w:ascii="Century Gothic" w:eastAsia="Batang" w:hAnsi="Century Gothic"/>
          <w:bCs/>
          <w:sz w:val="22"/>
          <w:szCs w:val="22"/>
          <w:lang w:val="fr-FR"/>
        </w:rPr>
        <w:t>iagnostic</w:t>
      </w:r>
      <w:r w:rsidR="00C41473" w:rsidRPr="00D47712">
        <w:rPr>
          <w:rFonts w:ascii="Century Gothic" w:eastAsia="Batang" w:hAnsi="Century Gothic"/>
          <w:bCs/>
          <w:sz w:val="22"/>
          <w:szCs w:val="22"/>
          <w:lang w:val="fr-FR"/>
        </w:rPr>
        <w:t xml:space="preserve"> (forces et faiblesse du dispositif actuel)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> ;</w:t>
      </w:r>
    </w:p>
    <w:p w14:paraId="2F13980C" w14:textId="7B79F174" w:rsidR="000473D3" w:rsidRPr="00D47712" w:rsidRDefault="00D47712" w:rsidP="00D47712">
      <w:pPr>
        <w:pStyle w:val="Paragraphedeliste"/>
        <w:numPr>
          <w:ilvl w:val="0"/>
          <w:numId w:val="42"/>
        </w:numPr>
        <w:spacing w:after="60" w:line="256" w:lineRule="auto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i</w:t>
      </w:r>
      <w:r w:rsidR="000473D3" w:rsidRPr="00D47712">
        <w:rPr>
          <w:rFonts w:ascii="Century Gothic" w:eastAsia="Batang" w:hAnsi="Century Gothic"/>
          <w:bCs/>
          <w:sz w:val="22"/>
          <w:szCs w:val="22"/>
        </w:rPr>
        <w:t>nterrogation sur la pertinence et la robustesse du dispositif de classifications </w:t>
      </w:r>
      <w:bookmarkEnd w:id="1"/>
      <w:r w:rsidR="000473D3" w:rsidRPr="00D47712">
        <w:rPr>
          <w:rFonts w:ascii="Century Gothic" w:eastAsia="Batang" w:hAnsi="Century Gothic"/>
          <w:bCs/>
          <w:sz w:val="22"/>
          <w:szCs w:val="22"/>
        </w:rPr>
        <w:t xml:space="preserve">; </w:t>
      </w:r>
    </w:p>
    <w:p w14:paraId="6822D995" w14:textId="3FD69AAA" w:rsidR="00C41473" w:rsidRPr="00D47712" w:rsidRDefault="00D47712" w:rsidP="00D47712">
      <w:pPr>
        <w:pStyle w:val="Paragraphedeliste"/>
        <w:numPr>
          <w:ilvl w:val="0"/>
          <w:numId w:val="42"/>
        </w:numPr>
        <w:spacing w:after="60" w:line="256" w:lineRule="auto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r</w:t>
      </w:r>
      <w:r w:rsidR="00C41473" w:rsidRPr="00D47712">
        <w:rPr>
          <w:rFonts w:ascii="Century Gothic" w:eastAsia="Batang" w:hAnsi="Century Gothic"/>
          <w:bCs/>
          <w:sz w:val="22"/>
          <w:szCs w:val="22"/>
          <w:lang w:val="fr-FR"/>
        </w:rPr>
        <w:t xml:space="preserve">éflexions </w:t>
      </w:r>
      <w:r w:rsidR="00C41473" w:rsidRPr="00D47712">
        <w:rPr>
          <w:rFonts w:ascii="Century Gothic" w:eastAsia="Batang" w:hAnsi="Century Gothic"/>
          <w:bCs/>
          <w:sz w:val="22"/>
          <w:szCs w:val="22"/>
        </w:rPr>
        <w:t>sur l’amélioration du dispositif existant</w:t>
      </w:r>
      <w:r>
        <w:rPr>
          <w:rFonts w:ascii="Century Gothic" w:eastAsia="Batang" w:hAnsi="Century Gothic"/>
          <w:bCs/>
          <w:sz w:val="22"/>
          <w:szCs w:val="22"/>
        </w:rPr>
        <w:t> </w:t>
      </w:r>
      <w:r>
        <w:rPr>
          <w:rFonts w:ascii="Century Gothic" w:eastAsia="Batang" w:hAnsi="Century Gothic"/>
          <w:bCs/>
          <w:sz w:val="22"/>
          <w:szCs w:val="22"/>
          <w:lang w:val="fr-FR"/>
        </w:rPr>
        <w:t>:</w:t>
      </w:r>
    </w:p>
    <w:p w14:paraId="0A9CEE83" w14:textId="1E36A8E2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f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>onctions à ajouter et fonctions à modifier ;</w:t>
      </w:r>
    </w:p>
    <w:p w14:paraId="4176C632" w14:textId="547EFB25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r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>electure des critères classant</w:t>
      </w:r>
      <w:r w:rsidR="0007239C" w:rsidRPr="00D47712">
        <w:rPr>
          <w:rFonts w:ascii="Century Gothic" w:eastAsia="Batang" w:hAnsi="Century Gothic"/>
          <w:bCs/>
          <w:sz w:val="22"/>
          <w:szCs w:val="22"/>
          <w:lang w:val="fr-FR"/>
        </w:rPr>
        <w:t xml:space="preserve"> 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>et niveaux de formation et de qualification ;</w:t>
      </w:r>
    </w:p>
    <w:p w14:paraId="46D3A754" w14:textId="0A13A552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g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>estion des évolutions des carrières</w:t>
      </w:r>
      <w:r>
        <w:rPr>
          <w:rFonts w:ascii="Century Gothic" w:eastAsia="Batang" w:hAnsi="Century Gothic"/>
          <w:bCs/>
          <w:sz w:val="22"/>
          <w:szCs w:val="22"/>
        </w:rPr>
        <w:t> </w:t>
      </w:r>
      <w:r>
        <w:rPr>
          <w:rFonts w:ascii="Century Gothic" w:eastAsia="Batang" w:hAnsi="Century Gothic"/>
          <w:bCs/>
          <w:sz w:val="22"/>
          <w:szCs w:val="22"/>
          <w:lang w:val="fr-FR"/>
        </w:rPr>
        <w:t>;</w:t>
      </w:r>
    </w:p>
    <w:p w14:paraId="40C71DC1" w14:textId="7681CA2D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Fonts w:ascii="Century Gothic" w:eastAsia="Batang" w:hAnsi="Century Gothic"/>
          <w:bCs/>
          <w:sz w:val="22"/>
          <w:szCs w:val="22"/>
          <w:lang w:val="fr-FR"/>
        </w:rPr>
        <w:t>b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 xml:space="preserve">as </w:t>
      </w:r>
      <w:r w:rsidR="000473D3" w:rsidRPr="00D47712">
        <w:rPr>
          <w:rFonts w:ascii="Century Gothic" w:eastAsia="Batang" w:hAnsi="Century Gothic"/>
          <w:bCs/>
          <w:sz w:val="22"/>
          <w:szCs w:val="22"/>
          <w:lang w:val="fr-FR"/>
        </w:rPr>
        <w:t xml:space="preserve">et hauts de </w:t>
      </w:r>
      <w:r w:rsidR="00343840" w:rsidRPr="00D47712">
        <w:rPr>
          <w:rFonts w:ascii="Century Gothic" w:eastAsia="Batang" w:hAnsi="Century Gothic"/>
          <w:bCs/>
          <w:sz w:val="22"/>
          <w:szCs w:val="22"/>
        </w:rPr>
        <w:t xml:space="preserve">grille salariale et salaire minimum </w:t>
      </w:r>
      <w:r w:rsidR="00874609" w:rsidRPr="00D47712">
        <w:rPr>
          <w:rFonts w:ascii="Century Gothic" w:eastAsia="Batang" w:hAnsi="Century Gothic"/>
          <w:bCs/>
          <w:sz w:val="22"/>
          <w:szCs w:val="22"/>
          <w:lang w:val="fr-FR"/>
        </w:rPr>
        <w:t xml:space="preserve">hiérarchique </w:t>
      </w:r>
      <w:r w:rsidR="00874609" w:rsidRPr="00D47712">
        <w:rPr>
          <w:rFonts w:ascii="Century Gothic" w:eastAsia="Batang" w:hAnsi="Century Gothic"/>
          <w:bCs/>
          <w:sz w:val="22"/>
          <w:szCs w:val="22"/>
        </w:rPr>
        <w:t>;</w:t>
      </w:r>
    </w:p>
    <w:p w14:paraId="2A0D72D3" w14:textId="5BEEAF7B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Style w:val="lev"/>
          <w:rFonts w:ascii="Century Gothic" w:eastAsia="Batang" w:hAnsi="Century Gothic"/>
          <w:b w:val="0"/>
          <w:bCs/>
          <w:sz w:val="22"/>
          <w:szCs w:val="22"/>
        </w:rPr>
      </w:pPr>
      <w:r>
        <w:rPr>
          <w:rStyle w:val="lev"/>
          <w:rFonts w:ascii="Century Gothic" w:hAnsi="Century Gothic"/>
          <w:b w:val="0"/>
          <w:bCs/>
          <w:sz w:val="22"/>
          <w:szCs w:val="22"/>
          <w:lang w:val="fr-FR"/>
        </w:rPr>
        <w:t>n</w:t>
      </w:r>
      <w:r w:rsidR="00343840" w:rsidRPr="00D47712">
        <w:rPr>
          <w:rStyle w:val="lev"/>
          <w:rFonts w:ascii="Century Gothic" w:hAnsi="Century Gothic"/>
          <w:b w:val="0"/>
          <w:bCs/>
          <w:sz w:val="22"/>
          <w:szCs w:val="22"/>
        </w:rPr>
        <w:t>ombre de points par degré et/ou valeurs de base des strates, valorisation de l’ancienneté et implication professionnelle ;</w:t>
      </w:r>
    </w:p>
    <w:p w14:paraId="60FAE2DD" w14:textId="11E5088D" w:rsidR="00343840" w:rsidRPr="00D47712" w:rsidRDefault="00D47712" w:rsidP="00D47712">
      <w:pPr>
        <w:pStyle w:val="Paragraphedeliste"/>
        <w:numPr>
          <w:ilvl w:val="2"/>
          <w:numId w:val="46"/>
        </w:numPr>
        <w:spacing w:after="60" w:line="256" w:lineRule="auto"/>
        <w:ind w:left="1418"/>
        <w:jc w:val="left"/>
        <w:rPr>
          <w:rFonts w:ascii="Century Gothic" w:eastAsia="Batang" w:hAnsi="Century Gothic"/>
          <w:bCs/>
          <w:sz w:val="22"/>
          <w:szCs w:val="22"/>
        </w:rPr>
      </w:pPr>
      <w:r>
        <w:rPr>
          <w:rStyle w:val="lev"/>
          <w:rFonts w:ascii="Century Gothic" w:hAnsi="Century Gothic"/>
          <w:b w:val="0"/>
          <w:bCs/>
          <w:sz w:val="22"/>
          <w:szCs w:val="22"/>
          <w:lang w:val="fr-FR"/>
        </w:rPr>
        <w:t>p</w:t>
      </w:r>
      <w:r w:rsidR="00343840" w:rsidRPr="00D47712">
        <w:rPr>
          <w:rStyle w:val="lev"/>
          <w:rFonts w:ascii="Century Gothic" w:hAnsi="Century Gothic"/>
          <w:b w:val="0"/>
          <w:bCs/>
          <w:sz w:val="22"/>
          <w:szCs w:val="22"/>
        </w:rPr>
        <w:t>lurifonctionnalité ;</w:t>
      </w:r>
    </w:p>
    <w:p w14:paraId="13DE2CCD" w14:textId="19B0192A" w:rsidR="00343840" w:rsidRPr="00D47712" w:rsidRDefault="00D47712" w:rsidP="00D47712">
      <w:pPr>
        <w:pStyle w:val="Paragraphedeliste"/>
        <w:numPr>
          <w:ilvl w:val="0"/>
          <w:numId w:val="42"/>
        </w:numPr>
        <w:spacing w:after="60" w:line="256" w:lineRule="auto"/>
        <w:jc w:val="left"/>
        <w:rPr>
          <w:rStyle w:val="lev"/>
          <w:rFonts w:ascii="Century Gothic" w:eastAsia="Batang" w:hAnsi="Century Gothic"/>
          <w:b w:val="0"/>
          <w:bCs/>
          <w:sz w:val="22"/>
          <w:szCs w:val="22"/>
        </w:rPr>
      </w:pPr>
      <w:r>
        <w:rPr>
          <w:rStyle w:val="lev"/>
          <w:rFonts w:ascii="Century Gothic" w:hAnsi="Century Gothic"/>
          <w:b w:val="0"/>
          <w:bCs/>
          <w:sz w:val="22"/>
          <w:szCs w:val="22"/>
          <w:lang w:val="fr-FR"/>
        </w:rPr>
        <w:t>d</w:t>
      </w:r>
      <w:r w:rsidR="00C41473" w:rsidRPr="00D47712">
        <w:rPr>
          <w:rStyle w:val="lev"/>
          <w:rFonts w:ascii="Century Gothic" w:hAnsi="Century Gothic"/>
          <w:b w:val="0"/>
          <w:bCs/>
          <w:sz w:val="22"/>
          <w:szCs w:val="22"/>
          <w:lang w:val="fr-FR"/>
        </w:rPr>
        <w:t xml:space="preserve">ate d’application </w:t>
      </w:r>
    </w:p>
    <w:p w14:paraId="67CA3A8F" w14:textId="19FFC801" w:rsidR="00C41473" w:rsidRPr="00D47712" w:rsidRDefault="00D47712" w:rsidP="00D47712">
      <w:pPr>
        <w:pStyle w:val="Paragraphedeliste"/>
        <w:numPr>
          <w:ilvl w:val="1"/>
          <w:numId w:val="42"/>
        </w:numPr>
        <w:spacing w:after="60" w:line="256" w:lineRule="auto"/>
        <w:jc w:val="left"/>
        <w:rPr>
          <w:rFonts w:ascii="Century Gothic" w:eastAsia="Batang" w:hAnsi="Century Gothic"/>
          <w:bCs/>
          <w:sz w:val="22"/>
          <w:szCs w:val="22"/>
          <w:lang w:val="fr-FR"/>
        </w:rPr>
      </w:pPr>
      <w:r>
        <w:rPr>
          <w:rFonts w:ascii="Century Gothic" w:eastAsia="Batang" w:hAnsi="Century Gothic"/>
          <w:sz w:val="22"/>
          <w:szCs w:val="22"/>
          <w:lang w:val="fr-FR"/>
        </w:rPr>
        <w:t>t</w:t>
      </w:r>
      <w:r w:rsidR="00C41473" w:rsidRPr="00D47712">
        <w:rPr>
          <w:rFonts w:ascii="Century Gothic" w:eastAsia="Batang" w:hAnsi="Century Gothic"/>
          <w:sz w:val="22"/>
          <w:szCs w:val="22"/>
        </w:rPr>
        <w:t>raitement de la période transitoire </w:t>
      </w:r>
      <w:r w:rsidR="00C41473" w:rsidRPr="00D47712">
        <w:rPr>
          <w:rFonts w:ascii="Century Gothic" w:eastAsia="Batang" w:hAnsi="Century Gothic"/>
          <w:sz w:val="22"/>
          <w:szCs w:val="22"/>
          <w:lang w:val="fr-FR"/>
        </w:rPr>
        <w:t xml:space="preserve">; </w:t>
      </w:r>
    </w:p>
    <w:p w14:paraId="6881BC76" w14:textId="4F1CABB1" w:rsidR="00343840" w:rsidRPr="00D47712" w:rsidRDefault="00D47712" w:rsidP="00D47712">
      <w:pPr>
        <w:pStyle w:val="Paragraphedeliste"/>
        <w:numPr>
          <w:ilvl w:val="1"/>
          <w:numId w:val="42"/>
        </w:numPr>
        <w:spacing w:after="60" w:line="256" w:lineRule="auto"/>
        <w:jc w:val="left"/>
        <w:rPr>
          <w:rFonts w:ascii="Century Gothic" w:eastAsia="Batang" w:hAnsi="Century Gothic"/>
          <w:bCs/>
          <w:sz w:val="22"/>
          <w:szCs w:val="22"/>
          <w:lang w:val="fr-FR"/>
        </w:rPr>
      </w:pPr>
      <w:r>
        <w:rPr>
          <w:rFonts w:ascii="Century Gothic" w:eastAsia="Batang" w:hAnsi="Century Gothic"/>
          <w:sz w:val="22"/>
          <w:szCs w:val="22"/>
          <w:lang w:val="fr-FR"/>
        </w:rPr>
        <w:t>a</w:t>
      </w:r>
      <w:r w:rsidR="00C41473" w:rsidRPr="00D47712">
        <w:rPr>
          <w:rFonts w:ascii="Century Gothic" w:eastAsia="Batang" w:hAnsi="Century Gothic"/>
          <w:sz w:val="22"/>
          <w:szCs w:val="22"/>
          <w:lang w:val="fr-FR"/>
        </w:rPr>
        <w:t>rticulation avec la négociation sur les salaires</w:t>
      </w:r>
      <w:r w:rsidR="0073549B" w:rsidRPr="00D47712">
        <w:rPr>
          <w:rFonts w:ascii="Century Gothic" w:eastAsia="Batang" w:hAnsi="Century Gothic"/>
          <w:sz w:val="22"/>
          <w:szCs w:val="22"/>
          <w:lang w:val="fr-FR"/>
        </w:rPr>
        <w:t>.</w:t>
      </w:r>
    </w:p>
    <w:p w14:paraId="6064530C" w14:textId="77777777" w:rsidR="0073549B" w:rsidRPr="00864D54" w:rsidRDefault="0073549B" w:rsidP="0073549B">
      <w:pPr>
        <w:spacing w:after="60" w:line="256" w:lineRule="auto"/>
        <w:rPr>
          <w:rFonts w:ascii="Century Gothic" w:eastAsia="Batang" w:hAnsi="Century Gothic"/>
          <w:bCs/>
        </w:rPr>
      </w:pPr>
    </w:p>
    <w:p w14:paraId="625DA913" w14:textId="152C1DFD" w:rsidR="00343840" w:rsidRPr="00864D54" w:rsidRDefault="00343840" w:rsidP="00C41473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t>Article 5</w:t>
      </w:r>
      <w:r w:rsidR="00F17641">
        <w:rPr>
          <w:rFonts w:ascii="Century Gothic" w:hAnsi="Century Gothic"/>
          <w:color w:val="1F497D"/>
        </w:rPr>
        <w:t xml:space="preserve"> : </w:t>
      </w:r>
      <w:r w:rsidRPr="00864D54">
        <w:rPr>
          <w:rFonts w:ascii="Century Gothic" w:hAnsi="Century Gothic"/>
          <w:color w:val="1F497D"/>
        </w:rPr>
        <w:t>Calendrier</w:t>
      </w:r>
    </w:p>
    <w:p w14:paraId="2E329A8C" w14:textId="2FC0CB7C" w:rsidR="00893701" w:rsidRPr="00864D54" w:rsidRDefault="00343840" w:rsidP="00D47712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 xml:space="preserve">Les </w:t>
      </w:r>
      <w:r w:rsidR="00893701">
        <w:rPr>
          <w:rFonts w:ascii="Century Gothic" w:eastAsia="Batang" w:hAnsi="Century Gothic"/>
          <w:bCs/>
        </w:rPr>
        <w:t xml:space="preserve">organisations représentatives signataires </w:t>
      </w:r>
      <w:r w:rsidR="00893701">
        <w:rPr>
          <w:rFonts w:ascii="Century Gothic" w:hAnsi="Century Gothic" w:cs="Arial"/>
          <w:color w:val="000000"/>
        </w:rPr>
        <w:t xml:space="preserve">fixent l’objectif d’une mise en place d’un dispositif de classifications rénové le </w:t>
      </w:r>
      <w:r w:rsidR="00893701" w:rsidRPr="000536C6">
        <w:rPr>
          <w:rFonts w:ascii="Century Gothic" w:hAnsi="Century Gothic" w:cs="Arial"/>
          <w:b/>
          <w:bCs/>
          <w:color w:val="000000"/>
        </w:rPr>
        <w:t>1</w:t>
      </w:r>
      <w:r w:rsidR="00893701" w:rsidRPr="000536C6">
        <w:rPr>
          <w:rFonts w:ascii="Century Gothic" w:hAnsi="Century Gothic" w:cs="Arial"/>
          <w:b/>
          <w:bCs/>
          <w:color w:val="000000"/>
          <w:vertAlign w:val="superscript"/>
        </w:rPr>
        <w:t>er</w:t>
      </w:r>
      <w:r w:rsidR="00893701" w:rsidRPr="000536C6">
        <w:rPr>
          <w:rFonts w:ascii="Century Gothic" w:hAnsi="Century Gothic" w:cs="Arial"/>
          <w:b/>
          <w:bCs/>
          <w:color w:val="000000"/>
        </w:rPr>
        <w:t xml:space="preserve"> septembre 202</w:t>
      </w:r>
      <w:r w:rsidR="00156C84">
        <w:rPr>
          <w:rFonts w:ascii="Century Gothic" w:hAnsi="Century Gothic" w:cs="Arial"/>
          <w:b/>
          <w:bCs/>
          <w:color w:val="000000"/>
        </w:rPr>
        <w:t>4</w:t>
      </w:r>
      <w:r w:rsidR="00893701">
        <w:rPr>
          <w:rFonts w:ascii="Century Gothic" w:hAnsi="Century Gothic" w:cs="Arial"/>
          <w:color w:val="000000"/>
        </w:rPr>
        <w:t>.</w:t>
      </w:r>
    </w:p>
    <w:p w14:paraId="4343E6A1" w14:textId="004F843C" w:rsidR="00C41473" w:rsidRPr="00864D54" w:rsidRDefault="00893701" w:rsidP="00D47712">
      <w:pPr>
        <w:spacing w:after="60"/>
        <w:jc w:val="both"/>
        <w:rPr>
          <w:rFonts w:ascii="Century Gothic" w:eastAsia="Batang" w:hAnsi="Century Gothic"/>
          <w:bCs/>
        </w:rPr>
      </w:pPr>
      <w:r>
        <w:rPr>
          <w:rFonts w:ascii="Century Gothic" w:eastAsia="Batang" w:hAnsi="Century Gothic"/>
          <w:bCs/>
        </w:rPr>
        <w:t xml:space="preserve">Elles </w:t>
      </w:r>
      <w:r w:rsidR="00343840" w:rsidRPr="00864D54">
        <w:rPr>
          <w:rFonts w:ascii="Century Gothic" w:eastAsia="Batang" w:hAnsi="Century Gothic"/>
          <w:bCs/>
        </w:rPr>
        <w:t xml:space="preserve">conviennent qu’un délai de mise en application de quatre mois est nécessaire à l’issue de la signature d’un accord de révision. </w:t>
      </w:r>
    </w:p>
    <w:p w14:paraId="3E2C1E69" w14:textId="58454BF0" w:rsidR="00343840" w:rsidRPr="00864D54" w:rsidRDefault="00343840" w:rsidP="00D47712">
      <w:pPr>
        <w:spacing w:after="60"/>
        <w:jc w:val="both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t>Le premier septembre est la date d’application qui facilite la mise en œuvre des nouveaux textes conventionnels. En conséquence, tout accord intervenant entre le 1</w:t>
      </w:r>
      <w:r w:rsidRPr="00864D54">
        <w:rPr>
          <w:rFonts w:ascii="Century Gothic" w:eastAsia="Batang" w:hAnsi="Century Gothic"/>
          <w:bCs/>
          <w:vertAlign w:val="superscript"/>
        </w:rPr>
        <w:t>er</w:t>
      </w:r>
      <w:r w:rsidRPr="00864D54">
        <w:rPr>
          <w:rFonts w:ascii="Century Gothic" w:eastAsia="Batang" w:hAnsi="Century Gothic"/>
          <w:bCs/>
        </w:rPr>
        <w:t xml:space="preserve"> mai et le 31 août voit sa mise en application reportée au 1</w:t>
      </w:r>
      <w:r w:rsidRPr="00864D54">
        <w:rPr>
          <w:rFonts w:ascii="Century Gothic" w:eastAsia="Batang" w:hAnsi="Century Gothic"/>
          <w:bCs/>
          <w:vertAlign w:val="superscript"/>
        </w:rPr>
        <w:t>er</w:t>
      </w:r>
      <w:r w:rsidRPr="00864D54">
        <w:rPr>
          <w:rFonts w:ascii="Century Gothic" w:eastAsia="Batang" w:hAnsi="Century Gothic"/>
          <w:bCs/>
        </w:rPr>
        <w:t xml:space="preserve"> septembre de l’année suivante.</w:t>
      </w:r>
    </w:p>
    <w:p w14:paraId="77374752" w14:textId="08B96A83" w:rsidR="00343840" w:rsidRPr="00864D54" w:rsidRDefault="00343840" w:rsidP="00343840">
      <w:pPr>
        <w:spacing w:after="60"/>
        <w:rPr>
          <w:rFonts w:ascii="Century Gothic" w:eastAsia="Batang" w:hAnsi="Century Gothic"/>
          <w:bCs/>
        </w:rPr>
      </w:pPr>
      <w:r w:rsidRPr="00864D54">
        <w:rPr>
          <w:rFonts w:ascii="Century Gothic" w:eastAsia="Batang" w:hAnsi="Century Gothic"/>
          <w:bCs/>
        </w:rPr>
        <w:lastRenderedPageBreak/>
        <w:t xml:space="preserve">Les dates et thèmes fixés pour les </w:t>
      </w:r>
      <w:r w:rsidR="00C41473" w:rsidRPr="00864D54">
        <w:rPr>
          <w:rFonts w:ascii="Century Gothic" w:eastAsia="Batang" w:hAnsi="Century Gothic"/>
          <w:bCs/>
        </w:rPr>
        <w:t xml:space="preserve">CPPNI </w:t>
      </w:r>
      <w:r w:rsidRPr="00864D54">
        <w:rPr>
          <w:rFonts w:ascii="Century Gothic" w:eastAsia="Batang" w:hAnsi="Century Gothic"/>
          <w:bCs/>
        </w:rPr>
        <w:t xml:space="preserve">sont les suivants : </w:t>
      </w:r>
    </w:p>
    <w:p w14:paraId="1EB8045C" w14:textId="05EE6587" w:rsidR="00343840" w:rsidRPr="00864D54" w:rsidRDefault="00343840" w:rsidP="00343840">
      <w:pPr>
        <w:spacing w:after="60"/>
        <w:rPr>
          <w:rFonts w:ascii="Century Gothic" w:eastAsia="Batang" w:hAnsi="Century Gothic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F1AC1" w:rsidRPr="00864D54" w14:paraId="1A2FA4D0" w14:textId="44977079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133290C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bookmarkStart w:id="2" w:name="_Hlk102646419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FAD6605" w14:textId="3D8D7C1C" w:rsidR="00BF1AC1" w:rsidRPr="00BF1AC1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1AC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Thématique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FFADD27" w14:textId="4081E0BF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FFFF" w:themeColor="background1"/>
                <w:sz w:val="20"/>
                <w:szCs w:val="20"/>
              </w:rPr>
              <w:t>Livrable-objectifs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0C2A31C" w14:textId="23DD0BFD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color w:val="FFFFFF" w:themeColor="background1"/>
                <w:sz w:val="20"/>
                <w:szCs w:val="20"/>
              </w:rPr>
              <w:t>Autres thématiques – hors négociation</w:t>
            </w:r>
          </w:p>
        </w:tc>
      </w:tr>
      <w:tr w:rsidR="00BF1AC1" w:rsidRPr="00864D54" w14:paraId="5F8856FB" w14:textId="45F811C8" w:rsidTr="005267DE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A0B7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27 janvier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6F7" w14:textId="72219FAE" w:rsidR="0076099A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Diagnostic</w:t>
            </w:r>
          </w:p>
          <w:p w14:paraId="38795BE6" w14:textId="0EF7CDF3" w:rsidR="0076099A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synthèse des faiblesses et forces du dispositifs</w:t>
            </w:r>
          </w:p>
          <w:p w14:paraId="3AFCF9EB" w14:textId="53A4A0F1" w:rsidR="0076099A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Grands principes de classifications et diverses solutions</w:t>
            </w:r>
          </w:p>
          <w:p w14:paraId="18648EBA" w14:textId="17DA9BDE" w:rsidR="0076099A" w:rsidRDefault="0076099A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i/>
                <w:iCs/>
                <w:sz w:val="20"/>
                <w:lang w:val="fr-FR"/>
              </w:rPr>
              <w:t xml:space="preserve">Rôle de la Branche </w:t>
            </w:r>
            <w:r w:rsidR="00DA61A6">
              <w:rPr>
                <w:rFonts w:ascii="Century Gothic" w:hAnsi="Century Gothic"/>
                <w:i/>
                <w:iCs/>
                <w:sz w:val="20"/>
                <w:lang w:val="fr-FR"/>
              </w:rPr>
              <w:t>– rôle des CPR dans l’application ?</w:t>
            </w:r>
          </w:p>
          <w:p w14:paraId="17E24BF3" w14:textId="570695DA" w:rsidR="00BF1AC1" w:rsidRPr="0076099A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Architecture pour quelles ambitions (reconnaissance, fidélisation, poids de l’ancienneté</w:t>
            </w:r>
            <w:r w:rsidR="0076099A">
              <w:rPr>
                <w:rFonts w:ascii="Century Gothic" w:hAnsi="Century Gothic"/>
                <w:i/>
                <w:iCs/>
                <w:sz w:val="20"/>
                <w:lang w:val="fr-FR"/>
              </w:rPr>
              <w:t>, éléments liés à la personne</w:t>
            </w:r>
            <w:r w:rsidRPr="0076099A">
              <w:rPr>
                <w:rFonts w:ascii="Century Gothic" w:hAnsi="Century Gothic"/>
                <w:i/>
                <w:iCs/>
                <w:sz w:val="20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04A" w14:textId="6DBF2A32" w:rsidR="00DA61A6" w:rsidRDefault="00BF1AC1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A61A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Livrable</w:t>
            </w:r>
            <w:r w:rsidR="00DA61A6" w:rsidRPr="00DA61A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amont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 : </w:t>
            </w:r>
            <w:r w:rsidR="00DA61A6">
              <w:rPr>
                <w:rFonts w:ascii="Century Gothic" w:hAnsi="Century Gothic"/>
                <w:i/>
                <w:iCs/>
                <w:sz w:val="20"/>
                <w:szCs w:val="20"/>
              </w:rPr>
              <w:t>diagnostic employeur (J-10)</w:t>
            </w:r>
          </w:p>
          <w:p w14:paraId="06C0CF8F" w14:textId="77777777" w:rsidR="00DA61A6" w:rsidRDefault="00DA61A6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1EA18B24" w14:textId="59C2A88A" w:rsidR="00DA61A6" w:rsidRPr="00DA61A6" w:rsidRDefault="00DA61A6" w:rsidP="005267DE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DA61A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Livrable aval :</w:t>
            </w:r>
          </w:p>
          <w:p w14:paraId="510D0C4B" w14:textId="1BC89106" w:rsidR="00BF1AC1" w:rsidRDefault="00BF1AC1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feuille de route pour quels enjeux ? quels objectifs 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BB" w14:textId="0FF217D9" w:rsidR="00BF1AC1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+ présentation formations communes INTEFP</w:t>
            </w:r>
          </w:p>
        </w:tc>
      </w:tr>
      <w:tr w:rsidR="00BF1AC1" w:rsidRPr="00864D54" w14:paraId="3D6CB3C2" w14:textId="1AC1AA88" w:rsidTr="005267DE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3BF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16 février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7E2" w14:textId="34C2C9C6" w:rsidR="00BF1AC1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prise en compte des qualifications ?</w:t>
            </w:r>
          </w:p>
          <w:p w14:paraId="11B3912C" w14:textId="5AC74573" w:rsidR="00BF1AC1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BF1AC1">
              <w:rPr>
                <w:rFonts w:ascii="Century Gothic" w:hAnsi="Century Gothic"/>
                <w:i/>
                <w:iCs/>
                <w:sz w:val="20"/>
              </w:rPr>
              <w:t xml:space="preserve">Nombre de strates </w:t>
            </w:r>
          </w:p>
          <w:p w14:paraId="523103D4" w14:textId="00440E1E" w:rsidR="00BF1AC1" w:rsidRPr="0076099A" w:rsidRDefault="00BF1AC1" w:rsidP="005267DE">
            <w:pPr>
              <w:pStyle w:val="Paragraphedeliste"/>
              <w:numPr>
                <w:ilvl w:val="0"/>
                <w:numId w:val="38"/>
              </w:numPr>
              <w:ind w:left="352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76099A">
              <w:rPr>
                <w:rFonts w:ascii="Century Gothic" w:hAnsi="Century Gothic"/>
                <w:i/>
                <w:iCs/>
                <w:sz w:val="20"/>
              </w:rPr>
              <w:t>Difficultés d’application Fonctions – propositions de modification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DC0" w14:textId="083936DA" w:rsidR="00DA61A6" w:rsidRDefault="00DA61A6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DA61A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Livrable amont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 :</w:t>
            </w:r>
          </w:p>
          <w:p w14:paraId="1E4A1AC8" w14:textId="1A9DA4A6" w:rsidR="00DA61A6" w:rsidRDefault="00DA61A6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Propositions patronales sur architecture globale</w:t>
            </w:r>
          </w:p>
          <w:p w14:paraId="4B964D12" w14:textId="730825C3" w:rsidR="00DA61A6" w:rsidRDefault="00DA61A6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Difficultés d’application dans les fonctions </w:t>
            </w:r>
          </w:p>
          <w:p w14:paraId="58BCF393" w14:textId="77777777" w:rsidR="00DA61A6" w:rsidRDefault="00DA61A6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63D92A6A" w14:textId="33F24E7D" w:rsidR="00DA61A6" w:rsidRDefault="00DA61A6" w:rsidP="005267DE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DA61A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Livrable aval :</w:t>
            </w:r>
          </w:p>
          <w:p w14:paraId="71B9F0F1" w14:textId="63CE4752" w:rsidR="00C60F2A" w:rsidRPr="00C60F2A" w:rsidRDefault="00C60F2A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60F2A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Projet de révision </w:t>
            </w:r>
          </w:p>
          <w:p w14:paraId="3F8002B9" w14:textId="79CC0B5E" w:rsidR="00BF1AC1" w:rsidRDefault="00BF1AC1" w:rsidP="005267DE">
            <w:pPr>
              <w:spacing w:after="0" w:line="24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BBA" w14:textId="77777777" w:rsidR="00BF1AC1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+ Retour et échanges présidences commission paritaires thématiques (EEP santé, EEP formation – OPMQ, COC-, EEP prévoyance, EEP solidarité)</w:t>
            </w:r>
          </w:p>
          <w:p w14:paraId="12B7D9A8" w14:textId="5CFE5EAB" w:rsidR="00BF1AC1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Lancement des travaux </w:t>
            </w:r>
            <w:r w:rsidRPr="00F70793">
              <w:rPr>
                <w:rFonts w:ascii="Century Gothic" w:hAnsi="Century Gothic"/>
                <w:i/>
                <w:iCs/>
                <w:sz w:val="20"/>
                <w:szCs w:val="20"/>
              </w:rPr>
              <w:t>sur la mise à disposition d'outils aux entreprises pour prévenir et agir contre le harcèlement sexuel et les agissements sexistes</w:t>
            </w:r>
          </w:p>
        </w:tc>
      </w:tr>
      <w:tr w:rsidR="00BF1AC1" w:rsidRPr="00864D54" w14:paraId="42881B33" w14:textId="3225C8FD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E7DB" w14:textId="316DAF05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14 mars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E3" w14:textId="7F625628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NAO 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3DF1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C45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BF1AC1" w:rsidRPr="00864D54" w14:paraId="07B4B676" w14:textId="01F29585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528" w14:textId="57E02D1B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30 mars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35E" w14:textId="739BEEE2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NAO 2 / période transitoire grille de salaire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42B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BEF" w14:textId="77777777" w:rsidR="00BF1AC1" w:rsidRPr="00864D54" w:rsidRDefault="00BF1AC1" w:rsidP="00DA61A6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A646BB4" w14:textId="19C267A5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8344" w14:textId="62A1D76C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20 avril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9C99" w14:textId="6533245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CD09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AEC" w14:textId="69F6D657" w:rsidR="00857022" w:rsidRPr="00864D54" w:rsidRDefault="00674FF9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Télétravail </w:t>
            </w:r>
          </w:p>
        </w:tc>
      </w:tr>
      <w:tr w:rsidR="00857022" w:rsidRPr="00864D54" w14:paraId="229F97D4" w14:textId="2157529A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B53B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25 mai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DEF" w14:textId="4E2F39ED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A85C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2E1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0F2CBDE3" w14:textId="1C5D6FC7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6DD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23 juin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4A0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F49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732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594C4E48" w14:textId="5A6D71F4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630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4D54">
              <w:rPr>
                <w:rFonts w:ascii="Century Gothic" w:hAnsi="Century Gothic"/>
                <w:sz w:val="20"/>
                <w:szCs w:val="20"/>
              </w:rPr>
              <w:t>3 juillet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681" w14:textId="6DC4DE76" w:rsidR="00857022" w:rsidRPr="00186978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D91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0D9" w14:textId="1CC2DB02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Bilan Observatoire dialogue social</w:t>
            </w:r>
          </w:p>
        </w:tc>
      </w:tr>
      <w:tr w:rsidR="00857022" w:rsidRPr="00864D54" w14:paraId="7245ED80" w14:textId="6E90CB30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6F43" w14:textId="6ED7FDDB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 septembre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396E" w14:textId="11C103A4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4666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FC8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366FA45" w14:textId="18C8D280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EB5" w14:textId="7702FC1D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 septembre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5A8" w14:textId="34B56B8B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0B4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FFB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32D5172" w14:textId="1AE364F7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38B" w14:textId="4972C47C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 octobre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A77" w14:textId="2EEB797B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240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70C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7B971F7" w14:textId="7871ED7D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091" w14:textId="363CE99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 octobre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F77" w14:textId="21A64ED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E38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536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6AE053C6" w14:textId="2BF05BC0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13D" w14:textId="1880E93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 novembre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8933" w14:textId="042B571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B754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424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4CA5FC2" w14:textId="77777777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3DB2" w14:textId="0E65B929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novembre 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6FD" w14:textId="0DB8BDB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9587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248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3E824C7F" w14:textId="7ACBF62D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C2A6" w14:textId="49C89C44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10 janvier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D8D" w14:textId="2C57D99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249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1906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69A44AA9" w14:textId="67BD04F9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E76F" w14:textId="4E0B1292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 janvier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081" w14:textId="41422C86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376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FCB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58D95395" w14:textId="6A2318B1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F44" w14:textId="0ACE8DB2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 février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66CC" w14:textId="13E3D65E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FFD4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385B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485B0D88" w14:textId="7BB9F723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732B" w14:textId="34C5E25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 février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EBA5" w14:textId="26A39869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64D54">
              <w:rPr>
                <w:rFonts w:ascii="Century Gothic" w:hAnsi="Century Gothic"/>
                <w:i/>
                <w:iCs/>
                <w:sz w:val="20"/>
                <w:szCs w:val="20"/>
              </w:rPr>
              <w:t>Classifications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439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F220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263F763E" w14:textId="5E378B91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D13" w14:textId="4AB22C0D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 mars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47A" w14:textId="208CD3AD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NAO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B5D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0A1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527FB25F" w14:textId="4ADA89FE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7244" w14:textId="4C040FF2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 mars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254" w14:textId="001579E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NAO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05C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662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tr w:rsidR="00857022" w:rsidRPr="00864D54" w14:paraId="701D7559" w14:textId="601D90A9" w:rsidTr="00DA61A6">
        <w:trPr>
          <w:trHeight w:val="36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917" w14:textId="264FC54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 mars 2024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074" w14:textId="17D8D170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Finalisation - signature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E48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309" w14:textId="77777777" w:rsidR="00857022" w:rsidRPr="00864D54" w:rsidRDefault="00857022" w:rsidP="00857022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  <w:bookmarkEnd w:id="2"/>
    </w:tbl>
    <w:p w14:paraId="67084CF5" w14:textId="77777777" w:rsidR="0073549B" w:rsidRPr="00864D54" w:rsidRDefault="0073549B" w:rsidP="00343840">
      <w:pPr>
        <w:spacing w:after="60"/>
        <w:jc w:val="both"/>
        <w:rPr>
          <w:rFonts w:ascii="Century Gothic" w:eastAsia="Batang" w:hAnsi="Century Gothic"/>
          <w:bCs/>
        </w:rPr>
      </w:pPr>
    </w:p>
    <w:p w14:paraId="0A78DC1C" w14:textId="77E1C6CB" w:rsidR="00343840" w:rsidRPr="00864D54" w:rsidRDefault="00857022" w:rsidP="00343840">
      <w:pPr>
        <w:spacing w:after="60"/>
        <w:jc w:val="both"/>
        <w:rPr>
          <w:rFonts w:ascii="Century Gothic" w:eastAsia="Batang" w:hAnsi="Century Gothic"/>
          <w:bCs/>
        </w:rPr>
      </w:pPr>
      <w:r>
        <w:rPr>
          <w:rFonts w:ascii="Century Gothic" w:eastAsia="Batang" w:hAnsi="Century Gothic"/>
          <w:bCs/>
        </w:rPr>
        <w:t xml:space="preserve">Les organisations représentatives préciseront les ordres du jour des réunions ci-dessus au regard de l’avancée des travaux paritaires. </w:t>
      </w:r>
    </w:p>
    <w:p w14:paraId="59A0E102" w14:textId="7876068F" w:rsidR="00526056" w:rsidRDefault="00526056">
      <w:pPr>
        <w:spacing w:after="0" w:line="240" w:lineRule="auto"/>
        <w:rPr>
          <w:rFonts w:ascii="Century Gothic" w:eastAsia="Batang" w:hAnsi="Century Gothic"/>
          <w:b/>
          <w:bCs/>
          <w:sz w:val="26"/>
          <w:szCs w:val="26"/>
        </w:rPr>
      </w:pPr>
    </w:p>
    <w:p w14:paraId="1DA8695B" w14:textId="5318580C" w:rsidR="00864D54" w:rsidRPr="00864D54" w:rsidRDefault="00864D54" w:rsidP="00864D54">
      <w:pPr>
        <w:pStyle w:val="Titre2"/>
        <w:spacing w:before="0"/>
        <w:rPr>
          <w:rFonts w:ascii="Century Gothic" w:hAnsi="Century Gothic"/>
          <w:color w:val="1F497D"/>
        </w:rPr>
      </w:pPr>
      <w:r w:rsidRPr="00864D54">
        <w:rPr>
          <w:rFonts w:ascii="Century Gothic" w:hAnsi="Century Gothic"/>
          <w:color w:val="1F497D"/>
        </w:rPr>
        <w:t xml:space="preserve">Article </w:t>
      </w:r>
      <w:r w:rsidR="003F2BE9">
        <w:rPr>
          <w:rFonts w:ascii="Century Gothic" w:hAnsi="Century Gothic"/>
          <w:color w:val="1F497D"/>
        </w:rPr>
        <w:t>6</w:t>
      </w:r>
      <w:r w:rsidR="00F17641">
        <w:rPr>
          <w:rFonts w:ascii="Century Gothic" w:hAnsi="Century Gothic"/>
          <w:color w:val="1F497D"/>
        </w:rPr>
        <w:t xml:space="preserve"> : </w:t>
      </w:r>
      <w:r w:rsidRPr="00864D54">
        <w:rPr>
          <w:rFonts w:ascii="Century Gothic" w:hAnsi="Century Gothic"/>
          <w:color w:val="1F497D"/>
        </w:rPr>
        <w:t>Agenda social pluriannuel</w:t>
      </w:r>
    </w:p>
    <w:p w14:paraId="22E3C21A" w14:textId="3E9AEB4E" w:rsidR="00864D54" w:rsidRPr="00864D54" w:rsidRDefault="00864D54" w:rsidP="00864D54">
      <w:pPr>
        <w:spacing w:after="0" w:line="240" w:lineRule="auto"/>
        <w:rPr>
          <w:rFonts w:ascii="Century Gothic" w:hAnsi="Century Gothic"/>
        </w:rPr>
      </w:pPr>
      <w:r w:rsidRPr="00864D54">
        <w:rPr>
          <w:rFonts w:ascii="Century Gothic" w:hAnsi="Century Gothic"/>
        </w:rPr>
        <w:t xml:space="preserve">L’article L. 2241-1 du code du travail dispose : </w:t>
      </w:r>
    </w:p>
    <w:p w14:paraId="641EF5EA" w14:textId="77777777" w:rsidR="00864D54" w:rsidRPr="00864D54" w:rsidRDefault="00864D54" w:rsidP="00864D5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Les organisations liées par une convention de branche ou, à défaut, par des accords professionnels se réunissent, au moins une fois tous les quatre ans pour les thèmes mentionnés aux 1° à 5° et au moins une fois tous les cinq ans pour les thèmes mentionnés aux 6° et 7°, pour négocier :</w:t>
      </w:r>
    </w:p>
    <w:p w14:paraId="12CD0374" w14:textId="06D3C162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les salaires ;</w:t>
      </w:r>
    </w:p>
    <w:p w14:paraId="5E0A2CC4" w14:textId="759ED743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les mesures tendant à assurer l'égalité professionnelle entre les femmes et les hommes et sur les mesures de rattrapage tendant à remédier aux inégalités constatées ainsi que sur la mise à disposition d'outils aux entreprises pour prévenir et agir contre le harcèlement sexuel et les agissements sexistes ;</w:t>
      </w:r>
    </w:p>
    <w:p w14:paraId="47643AD0" w14:textId="77777777" w:rsidR="00864D54" w:rsidRPr="00864D54" w:rsidRDefault="00864D54" w:rsidP="00864D5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2° bis Sur les mesures destinées à faciliter la conciliation entre la vie professionnelle et la vie personnelle des salariés proches aidants ;</w:t>
      </w:r>
    </w:p>
    <w:p w14:paraId="6B310EB5" w14:textId="76A5363C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les conditions de travail, la gestion prévisionnelle des emplois et des compétences, et sur la prise en compte des effets de l'exposition aux facteurs de risques professionnels énumérés à l'article</w:t>
      </w:r>
      <w:r w:rsidR="00BF1AC1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hyperlink r:id="rId11" w:history="1">
        <w:r w:rsidRPr="00864D54">
          <w:rPr>
            <w:rStyle w:val="Lienhypertexte"/>
            <w:rFonts w:ascii="Century Gothic" w:hAnsi="Century Gothic"/>
            <w:color w:val="4A5E81"/>
            <w:sz w:val="22"/>
            <w:szCs w:val="22"/>
          </w:rPr>
          <w:t>L. 4161-1</w:t>
        </w:r>
      </w:hyperlink>
      <w:r w:rsidRPr="00864D54">
        <w:rPr>
          <w:rFonts w:ascii="Century Gothic" w:hAnsi="Century Gothic" w:cs="Arial"/>
          <w:color w:val="000000"/>
          <w:sz w:val="22"/>
          <w:szCs w:val="22"/>
        </w:rPr>
        <w:t> ;</w:t>
      </w:r>
    </w:p>
    <w:p w14:paraId="540E2B17" w14:textId="3328F694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les mesures tendant à l'insertion professionnelle et au maintien dans l'emploi des travailleurs handicapés ;</w:t>
      </w:r>
    </w:p>
    <w:p w14:paraId="3E97FC94" w14:textId="187E620D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les priorités, les objectifs et les moyens de la formation professionnelle des salariés ;</w:t>
      </w:r>
    </w:p>
    <w:p w14:paraId="67C190D5" w14:textId="6C86F44C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l'examen de la nécessité de réviser les classifications, en prenant en compte l'objectif d'égalité professionnelle entre les femmes et les hommes et de mixité des emplois ;</w:t>
      </w:r>
    </w:p>
    <w:p w14:paraId="185BE5E1" w14:textId="29E34C03" w:rsidR="00864D54" w:rsidRPr="00864D54" w:rsidRDefault="00864D54" w:rsidP="00864D54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 w:rsidRPr="00864D54">
        <w:rPr>
          <w:rFonts w:ascii="Century Gothic" w:hAnsi="Century Gothic" w:cs="Arial"/>
          <w:color w:val="000000"/>
          <w:sz w:val="22"/>
          <w:szCs w:val="22"/>
        </w:rPr>
        <w:t>Sur l'institution d'un ou plusieurs plans d'épargne interentreprises ou plans d'épargne pour la retraite d'entreprise collectifs interentreprises lorsqu'il n'existe aucun accord conclu à ce niveau en la matière.</w:t>
      </w:r>
    </w:p>
    <w:p w14:paraId="215417E0" w14:textId="0FE7DEBE" w:rsidR="00864D54" w:rsidRDefault="00864D54" w:rsidP="00864D5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447F29DB" w14:textId="07FA6E36" w:rsidR="00864D54" w:rsidRDefault="00864D54" w:rsidP="00864D5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Par le présent accord, les organisations représentatives rappellent l</w:t>
      </w:r>
      <w:r w:rsidRPr="00864D54">
        <w:rPr>
          <w:rFonts w:ascii="Century Gothic" w:hAnsi="Century Gothic" w:cs="Arial"/>
          <w:color w:val="000000"/>
          <w:sz w:val="22"/>
          <w:szCs w:val="22"/>
        </w:rPr>
        <w:t>es travaux menés</w:t>
      </w:r>
      <w:r w:rsidR="00526056">
        <w:rPr>
          <w:rFonts w:ascii="Century Gothic" w:hAnsi="Century Gothic" w:cs="Arial"/>
          <w:color w:val="000000"/>
          <w:sz w:val="22"/>
          <w:szCs w:val="22"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297"/>
        <w:gridCol w:w="4335"/>
      </w:tblGrid>
      <w:tr w:rsidR="00864D54" w:rsidRPr="00792454" w14:paraId="6008233C" w14:textId="77777777" w:rsidTr="008A70FA">
        <w:tc>
          <w:tcPr>
            <w:tcW w:w="5297" w:type="dxa"/>
            <w:vMerge w:val="restart"/>
          </w:tcPr>
          <w:p w14:paraId="32E42EA9" w14:textId="31EAA3D0" w:rsidR="00864D54" w:rsidRPr="00792454" w:rsidRDefault="00864D54" w:rsidP="00F70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>sur les conditions de travail, la gestion prévisionnelle des emplois et des compétences, et sur la prise en compte des effets de l'exposition aux facteurs de risques professionnels énumérés à l'article </w:t>
            </w:r>
            <w:hyperlink r:id="rId12" w:history="1">
              <w:r w:rsidRPr="00792454">
                <w:rPr>
                  <w:rStyle w:val="Lienhypertexte"/>
                  <w:rFonts w:ascii="Century Gothic" w:hAnsi="Century Gothic"/>
                  <w:color w:val="4A5E81"/>
                  <w:sz w:val="20"/>
                  <w:szCs w:val="20"/>
                </w:rPr>
                <w:t>L. 4161-1</w:t>
              </w:r>
            </w:hyperlink>
          </w:p>
        </w:tc>
        <w:tc>
          <w:tcPr>
            <w:tcW w:w="4335" w:type="dxa"/>
            <w:vAlign w:val="center"/>
          </w:tcPr>
          <w:p w14:paraId="76DEE51B" w14:textId="495F1E9E" w:rsidR="00864D54" w:rsidRPr="00792454" w:rsidRDefault="00864D54" w:rsidP="00893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>Accord Interbranches Emploi et compétences du 24 mars 2022</w:t>
            </w:r>
          </w:p>
        </w:tc>
      </w:tr>
      <w:tr w:rsidR="00864D54" w:rsidRPr="00792454" w14:paraId="133468CD" w14:textId="77777777" w:rsidTr="008A70FA">
        <w:tc>
          <w:tcPr>
            <w:tcW w:w="5297" w:type="dxa"/>
            <w:vMerge/>
          </w:tcPr>
          <w:p w14:paraId="333C9A53" w14:textId="77777777" w:rsidR="00864D54" w:rsidRPr="00792454" w:rsidRDefault="00864D54" w:rsidP="00864D5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vAlign w:val="center"/>
          </w:tcPr>
          <w:p w14:paraId="36F940B6" w14:textId="5D6CAF9F" w:rsidR="00864D54" w:rsidRPr="00792454" w:rsidRDefault="00864D54" w:rsidP="00893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Référentiel de branche </w:t>
            </w:r>
          </w:p>
        </w:tc>
      </w:tr>
      <w:tr w:rsidR="00864D54" w:rsidRPr="00792454" w14:paraId="39467B50" w14:textId="77777777" w:rsidTr="008A70FA">
        <w:tc>
          <w:tcPr>
            <w:tcW w:w="5297" w:type="dxa"/>
          </w:tcPr>
          <w:p w14:paraId="5CA53C6A" w14:textId="2C3863FE" w:rsidR="00864D54" w:rsidRPr="00792454" w:rsidRDefault="00F70793" w:rsidP="00F70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>sur les mesures tendant à l'insertion professionnelle et au maintien dans l'emploi des travailleurs handicapés</w:t>
            </w:r>
          </w:p>
        </w:tc>
        <w:tc>
          <w:tcPr>
            <w:tcW w:w="4335" w:type="dxa"/>
            <w:vAlign w:val="center"/>
          </w:tcPr>
          <w:p w14:paraId="4A0B9456" w14:textId="1EF73F34" w:rsidR="00864D54" w:rsidRPr="00792454" w:rsidRDefault="00F70793" w:rsidP="00893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Travaux en cours </w:t>
            </w:r>
          </w:p>
        </w:tc>
      </w:tr>
      <w:tr w:rsidR="00F70793" w:rsidRPr="00792454" w14:paraId="6BC10965" w14:textId="77777777" w:rsidTr="008A70FA">
        <w:tc>
          <w:tcPr>
            <w:tcW w:w="5297" w:type="dxa"/>
          </w:tcPr>
          <w:p w14:paraId="5FF57E42" w14:textId="073810DC" w:rsidR="00F70793" w:rsidRPr="00792454" w:rsidRDefault="00792454" w:rsidP="00F707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="00F70793"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>ur les priorités, les objectifs et les moyens de la formation professionnelle des salariés</w:t>
            </w:r>
          </w:p>
        </w:tc>
        <w:tc>
          <w:tcPr>
            <w:tcW w:w="4335" w:type="dxa"/>
            <w:vAlign w:val="center"/>
          </w:tcPr>
          <w:p w14:paraId="67F98DC7" w14:textId="7EC0E6B1" w:rsidR="00F70793" w:rsidRPr="00792454" w:rsidRDefault="00F70793" w:rsidP="0089370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92454">
              <w:rPr>
                <w:rFonts w:ascii="Century Gothic" w:hAnsi="Century Gothic" w:cs="Arial"/>
                <w:color w:val="000000"/>
                <w:sz w:val="20"/>
                <w:szCs w:val="20"/>
              </w:rPr>
              <w:t>Accord Interbranches Emploi et compétences du 24 mars 2022</w:t>
            </w:r>
          </w:p>
        </w:tc>
      </w:tr>
    </w:tbl>
    <w:p w14:paraId="2B9D3EE0" w14:textId="3AE5D0B9" w:rsidR="00864D54" w:rsidRDefault="00864D54" w:rsidP="00864D5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4F83B68E" w14:textId="04E13A94" w:rsidR="00864D54" w:rsidRPr="00864D54" w:rsidRDefault="00F70793" w:rsidP="00864D5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Les questions </w:t>
      </w:r>
      <w:r w:rsidR="00893701">
        <w:rPr>
          <w:rFonts w:ascii="Century Gothic" w:hAnsi="Century Gothic" w:cs="Arial"/>
          <w:color w:val="000000"/>
          <w:sz w:val="22"/>
          <w:szCs w:val="22"/>
        </w:rPr>
        <w:t xml:space="preserve">suivantes sont au cœur du présent accord : </w:t>
      </w:r>
    </w:p>
    <w:p w14:paraId="0AA5A672" w14:textId="41D878E8" w:rsidR="00F70793" w:rsidRPr="00864D54" w:rsidRDefault="00526056" w:rsidP="00F7079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lastRenderedPageBreak/>
        <w:t>a</w:t>
      </w:r>
      <w:r w:rsidR="00F70793">
        <w:rPr>
          <w:rFonts w:ascii="Century Gothic" w:hAnsi="Century Gothic" w:cs="Arial"/>
          <w:color w:val="000000"/>
          <w:sz w:val="22"/>
          <w:szCs w:val="22"/>
        </w:rPr>
        <w:t xml:space="preserve">ux </w:t>
      </w:r>
      <w:r w:rsidR="00F70793" w:rsidRPr="00864D54">
        <w:rPr>
          <w:rFonts w:ascii="Century Gothic" w:hAnsi="Century Gothic" w:cs="Arial"/>
          <w:color w:val="000000"/>
          <w:sz w:val="22"/>
          <w:szCs w:val="22"/>
        </w:rPr>
        <w:t>salaires ;</w:t>
      </w:r>
    </w:p>
    <w:p w14:paraId="16E5CD58" w14:textId="1820D7C8" w:rsidR="00F70793" w:rsidRDefault="00526056" w:rsidP="00F7079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</w:t>
      </w:r>
      <w:r w:rsidR="00F70793">
        <w:rPr>
          <w:rFonts w:ascii="Century Gothic" w:hAnsi="Century Gothic" w:cs="Arial"/>
          <w:color w:val="000000"/>
          <w:sz w:val="22"/>
          <w:szCs w:val="22"/>
        </w:rPr>
        <w:t xml:space="preserve">ux </w:t>
      </w:r>
      <w:r w:rsidR="00F70793" w:rsidRPr="00864D54">
        <w:rPr>
          <w:rFonts w:ascii="Century Gothic" w:hAnsi="Century Gothic" w:cs="Arial"/>
          <w:color w:val="000000"/>
          <w:sz w:val="22"/>
          <w:szCs w:val="22"/>
        </w:rPr>
        <w:t>mesures tendant à assurer l'égalité professionnelle entre les femmes et les hommes et sur les mesures de rattrapage tendant à remédier aux inégalités constatées ainsi que sur la mise à disposition d'outils aux entreprises pour prévenir et agir contre le harcèlement sexuel et les agissements sexistes ;</w:t>
      </w:r>
      <w:r w:rsidR="00F70793" w:rsidRPr="00F70793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2360E486" w14:textId="1610A9B6" w:rsidR="00F70793" w:rsidRPr="00864D54" w:rsidRDefault="00526056" w:rsidP="00F7079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</w:t>
      </w:r>
      <w:r w:rsidR="00F70793">
        <w:rPr>
          <w:rFonts w:ascii="Century Gothic" w:hAnsi="Century Gothic" w:cs="Arial"/>
          <w:color w:val="000000"/>
          <w:sz w:val="22"/>
          <w:szCs w:val="22"/>
        </w:rPr>
        <w:t xml:space="preserve">ux </w:t>
      </w:r>
      <w:r w:rsidR="00F70793" w:rsidRPr="00864D54">
        <w:rPr>
          <w:rFonts w:ascii="Century Gothic" w:hAnsi="Century Gothic" w:cs="Arial"/>
          <w:color w:val="000000"/>
          <w:sz w:val="22"/>
          <w:szCs w:val="22"/>
        </w:rPr>
        <w:t>classifications, en prenant en compte l'objectif d'égalité professionnelle entre les femmes et les hommes et de mixité des emplois</w:t>
      </w:r>
      <w:r w:rsidR="00417B54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30C902E0" w14:textId="77777777" w:rsidR="00893701" w:rsidRDefault="00893701" w:rsidP="00F7079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57064936" w14:textId="5DDC6595" w:rsidR="00F70793" w:rsidRPr="00E4685D" w:rsidRDefault="00F70793" w:rsidP="00674F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E4685D">
        <w:rPr>
          <w:rFonts w:ascii="Century Gothic" w:hAnsi="Century Gothic" w:cs="Arial"/>
          <w:sz w:val="22"/>
          <w:szCs w:val="22"/>
        </w:rPr>
        <w:t xml:space="preserve">Les organisations représentatives signataires confient les travaux préparatoires à la </w:t>
      </w:r>
      <w:r w:rsidRPr="00E4685D">
        <w:rPr>
          <w:rFonts w:ascii="Century Gothic" w:hAnsi="Century Gothic" w:cs="Arial"/>
          <w:i/>
          <w:iCs/>
          <w:sz w:val="22"/>
          <w:szCs w:val="22"/>
        </w:rPr>
        <w:t>Commission EEP prévoyance</w:t>
      </w:r>
      <w:r w:rsidRPr="00E4685D">
        <w:rPr>
          <w:rFonts w:ascii="Century Gothic" w:hAnsi="Century Gothic" w:cs="Arial"/>
          <w:sz w:val="22"/>
          <w:szCs w:val="22"/>
        </w:rPr>
        <w:t> </w:t>
      </w:r>
      <w:r w:rsidR="00526056" w:rsidRPr="00E4685D">
        <w:rPr>
          <w:rFonts w:ascii="Century Gothic" w:hAnsi="Century Gothic" w:cs="Arial"/>
          <w:sz w:val="22"/>
          <w:szCs w:val="22"/>
        </w:rPr>
        <w:t>s</w:t>
      </w:r>
      <w:r w:rsidRPr="00E4685D">
        <w:rPr>
          <w:rFonts w:ascii="Century Gothic" w:hAnsi="Century Gothic" w:cs="Arial"/>
          <w:sz w:val="22"/>
          <w:szCs w:val="22"/>
        </w:rPr>
        <w:t>ur l'institution d'un ou plusieurs plans d'épargne interentreprises ou plans d'épargne pour la retraite d'entreprise collectifs interentreprises (</w:t>
      </w:r>
      <w:r w:rsidR="00893701" w:rsidRPr="00E4685D">
        <w:rPr>
          <w:rFonts w:ascii="Century Gothic" w:hAnsi="Century Gothic" w:cs="Arial"/>
          <w:sz w:val="22"/>
          <w:szCs w:val="22"/>
        </w:rPr>
        <w:t>livraison</w:t>
      </w:r>
      <w:r w:rsidRPr="00E4685D">
        <w:rPr>
          <w:rFonts w:ascii="Century Gothic" w:hAnsi="Century Gothic" w:cs="Arial"/>
          <w:sz w:val="22"/>
          <w:szCs w:val="22"/>
        </w:rPr>
        <w:t xml:space="preserve"> d’une formule conventionnelle, d’un avenant à la CC EPNL – chapitre 8). Les travaux doivent commencer à compter de mars 2023.</w:t>
      </w:r>
    </w:p>
    <w:p w14:paraId="5DFB945A" w14:textId="753A54AE" w:rsidR="00674FF9" w:rsidRPr="00E4685D" w:rsidRDefault="00674FF9" w:rsidP="00674F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14:paraId="574EBDCF" w14:textId="66887A63" w:rsidR="00674FF9" w:rsidRPr="00E4685D" w:rsidRDefault="00674FF9" w:rsidP="00674F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E4685D">
        <w:rPr>
          <w:rFonts w:ascii="Century Gothic" w:hAnsi="Century Gothic" w:cs="Arial"/>
          <w:sz w:val="22"/>
          <w:szCs w:val="22"/>
        </w:rPr>
        <w:t>Les organisations représentatives signataires confient les travaux préparatoires au groupe RSE sur les mesures destinées à faciliter la conciliation entre la vie professionnelle et la vie personnelle des salariés proches aidants. Les travaux doivent commencer à compter de avril 2023.</w:t>
      </w:r>
    </w:p>
    <w:p w14:paraId="73747F90" w14:textId="77777777" w:rsidR="00674FF9" w:rsidRDefault="00674FF9" w:rsidP="00674F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20AAB5E" w14:textId="21D38C35" w:rsidR="00674FF9" w:rsidRPr="00526056" w:rsidRDefault="00674FF9" w:rsidP="00674F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La </w:t>
      </w:r>
      <w:r w:rsidRPr="00674FF9">
        <w:rPr>
          <w:rFonts w:ascii="Century Gothic" w:hAnsi="Century Gothic" w:cs="Arial"/>
          <w:b/>
          <w:bCs/>
          <w:color w:val="000000"/>
          <w:sz w:val="22"/>
          <w:szCs w:val="22"/>
        </w:rPr>
        <w:t>CPPNI EPNL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demande à la </w:t>
      </w:r>
      <w:r w:rsidRPr="00674FF9">
        <w:rPr>
          <w:rFonts w:ascii="Century Gothic" w:hAnsi="Century Gothic" w:cs="Arial"/>
          <w:i/>
          <w:iCs/>
          <w:color w:val="000000"/>
          <w:sz w:val="22"/>
          <w:szCs w:val="22"/>
        </w:rPr>
        <w:t>commission EEP prévoyance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et GT RSE de fixer un calendrier des travaux.</w:t>
      </w:r>
    </w:p>
    <w:p w14:paraId="22F2DC0D" w14:textId="77777777" w:rsidR="00F70793" w:rsidRPr="00F70793" w:rsidRDefault="00F70793" w:rsidP="00F7079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</w:rPr>
      </w:pPr>
    </w:p>
    <w:p w14:paraId="4320D3CC" w14:textId="146F510F" w:rsidR="0036479B" w:rsidRPr="00E4685D" w:rsidRDefault="0036479B" w:rsidP="00294F2E">
      <w:pPr>
        <w:pStyle w:val="Corpsdetexte"/>
        <w:widowControl w:val="0"/>
        <w:autoSpaceDE w:val="0"/>
        <w:autoSpaceDN w:val="0"/>
        <w:adjustRightInd w:val="0"/>
        <w:rPr>
          <w:rFonts w:cs="Arial"/>
          <w:i w:val="0"/>
          <w:iCs w:val="0"/>
        </w:rPr>
      </w:pPr>
      <w:r w:rsidRPr="00E4685D">
        <w:rPr>
          <w:rFonts w:cs="Arial"/>
          <w:i w:val="0"/>
          <w:iCs w:val="0"/>
        </w:rPr>
        <w:t xml:space="preserve">Elles décident </w:t>
      </w:r>
      <w:r w:rsidR="006C41C7" w:rsidRPr="00E4685D">
        <w:rPr>
          <w:rFonts w:cs="Arial"/>
          <w:i w:val="0"/>
          <w:iCs w:val="0"/>
        </w:rPr>
        <w:t>également</w:t>
      </w:r>
      <w:r w:rsidRPr="00E4685D">
        <w:rPr>
          <w:rFonts w:cs="Arial"/>
          <w:i w:val="0"/>
          <w:iCs w:val="0"/>
        </w:rPr>
        <w:t xml:space="preserve"> d’organiser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4307"/>
        <w:gridCol w:w="2304"/>
      </w:tblGrid>
      <w:tr w:rsidR="00E4685D" w:rsidRPr="00864D54" w14:paraId="5868C00F" w14:textId="77777777" w:rsidTr="007064AC">
        <w:tc>
          <w:tcPr>
            <w:tcW w:w="2908" w:type="dxa"/>
            <w:vMerge w:val="restart"/>
            <w:vAlign w:val="center"/>
          </w:tcPr>
          <w:p w14:paraId="5D6A005D" w14:textId="77777777" w:rsidR="00E4685D" w:rsidRPr="00864D54" w:rsidRDefault="00E4685D" w:rsidP="009378C1">
            <w:pPr>
              <w:pStyle w:val="En-tte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864D5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Des formations communes </w:t>
            </w:r>
          </w:p>
        </w:tc>
        <w:tc>
          <w:tcPr>
            <w:tcW w:w="4307" w:type="dxa"/>
            <w:vAlign w:val="center"/>
          </w:tcPr>
          <w:p w14:paraId="469CE606" w14:textId="1E2DEE27" w:rsidR="00E4685D" w:rsidRPr="00864D54" w:rsidRDefault="00E4685D" w:rsidP="006C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INTEFP</w:t>
            </w:r>
            <w:r w:rsidRPr="00864D5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vMerge w:val="restart"/>
            <w:vAlign w:val="center"/>
          </w:tcPr>
          <w:p w14:paraId="0C313FC9" w14:textId="51DFA917" w:rsidR="00E4685D" w:rsidRPr="00864D54" w:rsidRDefault="00E4685D" w:rsidP="009378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64D54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A compter 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du printemps 2023</w:t>
            </w:r>
          </w:p>
        </w:tc>
      </w:tr>
      <w:tr w:rsidR="00E4685D" w:rsidRPr="00864D54" w14:paraId="6CCD3368" w14:textId="77777777" w:rsidTr="007064AC">
        <w:tc>
          <w:tcPr>
            <w:tcW w:w="2908" w:type="dxa"/>
            <w:vMerge/>
            <w:vAlign w:val="center"/>
          </w:tcPr>
          <w:p w14:paraId="459CE893" w14:textId="77777777" w:rsidR="00E4685D" w:rsidRPr="00864D54" w:rsidRDefault="00E4685D" w:rsidP="0093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</w:tc>
        <w:tc>
          <w:tcPr>
            <w:tcW w:w="4307" w:type="dxa"/>
            <w:vAlign w:val="center"/>
          </w:tcPr>
          <w:p w14:paraId="2F93232C" w14:textId="77777777" w:rsidR="00E4685D" w:rsidRPr="00864D54" w:rsidRDefault="00E4685D" w:rsidP="006C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864D54">
              <w:rPr>
                <w:rFonts w:ascii="Century Gothic" w:hAnsi="Century Gothic" w:cs="Arial"/>
                <w:i/>
                <w:iCs/>
                <w:sz w:val="18"/>
                <w:szCs w:val="18"/>
              </w:rPr>
              <w:t>Une formation sur la prévention du sexisme ordinaire au travail (recours à un cabinet pour la construction des outils)</w:t>
            </w:r>
          </w:p>
        </w:tc>
        <w:tc>
          <w:tcPr>
            <w:tcW w:w="2304" w:type="dxa"/>
            <w:vMerge/>
            <w:vAlign w:val="center"/>
          </w:tcPr>
          <w:p w14:paraId="3AB92BAC" w14:textId="7EE5D314" w:rsidR="00E4685D" w:rsidRPr="00864D54" w:rsidRDefault="00E4685D" w:rsidP="0093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</w:tc>
      </w:tr>
    </w:tbl>
    <w:p w14:paraId="51929F6D" w14:textId="77777777" w:rsidR="0036479B" w:rsidRPr="00864D54" w:rsidRDefault="0036479B" w:rsidP="0036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</w:rPr>
      </w:pPr>
    </w:p>
    <w:p w14:paraId="0670AB25" w14:textId="7EEE505B" w:rsidR="00893701" w:rsidRPr="00893701" w:rsidRDefault="00893701" w:rsidP="00893701">
      <w:pPr>
        <w:pStyle w:val="Titre2"/>
        <w:spacing w:before="0"/>
        <w:rPr>
          <w:rFonts w:ascii="Century Gothic" w:hAnsi="Century Gothic"/>
          <w:color w:val="1F497D"/>
        </w:rPr>
      </w:pPr>
      <w:r w:rsidRPr="00893701">
        <w:rPr>
          <w:rFonts w:ascii="Century Gothic" w:hAnsi="Century Gothic"/>
          <w:color w:val="1F497D"/>
        </w:rPr>
        <w:t xml:space="preserve">Article </w:t>
      </w:r>
      <w:r w:rsidR="003F2BE9">
        <w:rPr>
          <w:rFonts w:ascii="Century Gothic" w:hAnsi="Century Gothic"/>
          <w:color w:val="1F497D"/>
        </w:rPr>
        <w:t>7</w:t>
      </w:r>
      <w:r w:rsidRPr="00893701">
        <w:rPr>
          <w:rFonts w:ascii="Century Gothic" w:hAnsi="Century Gothic"/>
          <w:color w:val="1F497D"/>
        </w:rPr>
        <w:t xml:space="preserve"> : </w:t>
      </w:r>
      <w:r w:rsidR="00E4685D">
        <w:rPr>
          <w:rFonts w:ascii="Century Gothic" w:hAnsi="Century Gothic"/>
          <w:color w:val="1F497D"/>
        </w:rPr>
        <w:t>N</w:t>
      </w:r>
      <w:r w:rsidRPr="00893701">
        <w:rPr>
          <w:rFonts w:ascii="Century Gothic" w:hAnsi="Century Gothic"/>
          <w:color w:val="1F497D"/>
        </w:rPr>
        <w:t xml:space="preserve">ature de l’accord </w:t>
      </w:r>
    </w:p>
    <w:p w14:paraId="4D9C93C0" w14:textId="77777777" w:rsidR="00893701" w:rsidRPr="00864D54" w:rsidRDefault="00893701" w:rsidP="00893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64D54">
        <w:rPr>
          <w:rFonts w:ascii="Century Gothic" w:hAnsi="Century Gothic" w:cs="Arial"/>
        </w:rPr>
        <w:t xml:space="preserve">Le présent accord de méthode est à durée déterminée. </w:t>
      </w:r>
    </w:p>
    <w:p w14:paraId="0ADCFEE0" w14:textId="4E7D06D2" w:rsidR="00893701" w:rsidRPr="00864D54" w:rsidRDefault="00893701" w:rsidP="00893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64D54">
        <w:rPr>
          <w:rFonts w:ascii="Century Gothic" w:hAnsi="Century Gothic" w:cs="Arial"/>
        </w:rPr>
        <w:t xml:space="preserve">Son terme est fixé au </w:t>
      </w:r>
      <w:r>
        <w:rPr>
          <w:rFonts w:ascii="Century Gothic" w:hAnsi="Century Gothic" w:cs="Arial"/>
        </w:rPr>
        <w:t>1</w:t>
      </w:r>
      <w:r w:rsidRPr="00893701">
        <w:rPr>
          <w:rFonts w:ascii="Century Gothic" w:hAnsi="Century Gothic" w:cs="Arial"/>
          <w:vertAlign w:val="superscript"/>
        </w:rPr>
        <w:t>er</w:t>
      </w:r>
      <w:r>
        <w:rPr>
          <w:rFonts w:ascii="Century Gothic" w:hAnsi="Century Gothic" w:cs="Arial"/>
        </w:rPr>
        <w:t xml:space="preserve"> mai </w:t>
      </w:r>
      <w:r w:rsidRPr="00864D54">
        <w:rPr>
          <w:rFonts w:ascii="Century Gothic" w:hAnsi="Century Gothic" w:cs="Arial"/>
        </w:rPr>
        <w:t>202</w:t>
      </w:r>
      <w:r w:rsidR="00E4685D">
        <w:rPr>
          <w:rFonts w:ascii="Century Gothic" w:hAnsi="Century Gothic" w:cs="Arial"/>
        </w:rPr>
        <w:t>4</w:t>
      </w:r>
      <w:r w:rsidRPr="00864D54">
        <w:rPr>
          <w:rFonts w:ascii="Century Gothic" w:hAnsi="Century Gothic" w:cs="Arial"/>
        </w:rPr>
        <w:t>.</w:t>
      </w:r>
    </w:p>
    <w:p w14:paraId="34ECEA01" w14:textId="77777777" w:rsidR="00893701" w:rsidRDefault="00893701" w:rsidP="00893701">
      <w:pPr>
        <w:rPr>
          <w:rFonts w:ascii="Century Gothic" w:hAnsi="Century Gothic" w:cs="Calibri"/>
          <w:sz w:val="20"/>
          <w:szCs w:val="20"/>
        </w:rPr>
      </w:pPr>
    </w:p>
    <w:p w14:paraId="7FDA0A71" w14:textId="2FAD5F56" w:rsidR="00893701" w:rsidRPr="00893701" w:rsidRDefault="00893701" w:rsidP="00893701">
      <w:pPr>
        <w:pStyle w:val="Titre2"/>
        <w:spacing w:before="0"/>
        <w:rPr>
          <w:rFonts w:ascii="Century Gothic" w:hAnsi="Century Gothic"/>
          <w:color w:val="1F497D"/>
        </w:rPr>
      </w:pPr>
      <w:r w:rsidRPr="00893701">
        <w:rPr>
          <w:rFonts w:ascii="Century Gothic" w:hAnsi="Century Gothic"/>
          <w:color w:val="1F497D"/>
        </w:rPr>
        <w:t xml:space="preserve">Article </w:t>
      </w:r>
      <w:r w:rsidR="003F2BE9">
        <w:rPr>
          <w:rFonts w:ascii="Century Gothic" w:hAnsi="Century Gothic"/>
          <w:color w:val="1F497D"/>
        </w:rPr>
        <w:t>8</w:t>
      </w:r>
      <w:r w:rsidRPr="00893701">
        <w:rPr>
          <w:rFonts w:ascii="Century Gothic" w:hAnsi="Century Gothic"/>
          <w:color w:val="1F497D"/>
        </w:rPr>
        <w:t> : Modalités de dépôt</w:t>
      </w:r>
    </w:p>
    <w:p w14:paraId="6ACF8856" w14:textId="77777777" w:rsidR="00893701" w:rsidRDefault="00893701" w:rsidP="00893701">
      <w:pPr>
        <w:spacing w:after="0" w:line="240" w:lineRule="auto"/>
        <w:jc w:val="both"/>
      </w:pPr>
      <w:r>
        <w:rPr>
          <w:rFonts w:ascii="Century Gothic" w:eastAsia="Batang" w:hAnsi="Century Gothic" w:cs="Century Gothic"/>
          <w:bCs/>
        </w:rPr>
        <w:t xml:space="preserve">Le présent est déposé par la CEPNL conformément aux dispositions légales, réglementaires et conventionnelles. </w:t>
      </w:r>
    </w:p>
    <w:p w14:paraId="36AE2BAD" w14:textId="77777777" w:rsidR="00893701" w:rsidRDefault="00893701" w:rsidP="00893701">
      <w:pPr>
        <w:spacing w:after="0" w:line="240" w:lineRule="auto"/>
        <w:jc w:val="both"/>
      </w:pPr>
      <w:r>
        <w:rPr>
          <w:rFonts w:ascii="Century Gothic" w:hAnsi="Century Gothic" w:cs="Century Gothic"/>
        </w:rPr>
        <w:t>Une demande d’extension est formulée à cette occasion.</w:t>
      </w:r>
    </w:p>
    <w:p w14:paraId="52CE5CFF" w14:textId="77777777" w:rsidR="00893701" w:rsidRDefault="00893701" w:rsidP="00893701">
      <w:pPr>
        <w:spacing w:after="0" w:line="240" w:lineRule="auto"/>
        <w:jc w:val="both"/>
      </w:pPr>
      <w:r>
        <w:rPr>
          <w:rFonts w:ascii="Century Gothic" w:hAnsi="Century Gothic" w:cs="Century Gothic"/>
        </w:rPr>
        <w:t xml:space="preserve">L’absence de dispositions relatives aux entreprises de moins de 50 salariés est justifiée par l’objet même du présent avenant. </w:t>
      </w:r>
    </w:p>
    <w:p w14:paraId="51D2719C" w14:textId="77777777" w:rsidR="00893701" w:rsidRDefault="00893701" w:rsidP="00893701">
      <w:pPr>
        <w:rPr>
          <w:rFonts w:ascii="Century Gothic" w:hAnsi="Century Gothic" w:cs="Calibri"/>
          <w:sz w:val="20"/>
          <w:szCs w:val="20"/>
        </w:rPr>
      </w:pPr>
    </w:p>
    <w:p w14:paraId="115D58BF" w14:textId="77777777" w:rsidR="00893701" w:rsidRDefault="00893701" w:rsidP="00893701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br w:type="page"/>
      </w:r>
    </w:p>
    <w:p w14:paraId="45226084" w14:textId="77777777" w:rsidR="00893701" w:rsidRPr="00A33737" w:rsidRDefault="00893701" w:rsidP="00893701">
      <w:pPr>
        <w:rPr>
          <w:rFonts w:ascii="Century Gothic" w:hAnsi="Century Gothic" w:cs="Calibri"/>
          <w:sz w:val="20"/>
          <w:szCs w:val="20"/>
        </w:rPr>
      </w:pPr>
    </w:p>
    <w:p w14:paraId="52DD8C95" w14:textId="3216AA56" w:rsidR="00893701" w:rsidRPr="00A33737" w:rsidRDefault="00893701" w:rsidP="00893701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A33737">
        <w:rPr>
          <w:rFonts w:ascii="Century Gothic" w:hAnsi="Century Gothic" w:cs="Calibri"/>
          <w:sz w:val="20"/>
          <w:szCs w:val="20"/>
        </w:rPr>
        <w:t xml:space="preserve">Fait à Paris le </w:t>
      </w:r>
      <w:r>
        <w:rPr>
          <w:rFonts w:ascii="Century Gothic" w:hAnsi="Century Gothic" w:cs="Calibri"/>
          <w:sz w:val="20"/>
          <w:szCs w:val="20"/>
        </w:rPr>
        <w:t xml:space="preserve">12 décembre </w:t>
      </w:r>
      <w:r w:rsidRPr="00A33737">
        <w:rPr>
          <w:rFonts w:ascii="Century Gothic" w:hAnsi="Century Gothic" w:cs="Calibri"/>
          <w:sz w:val="20"/>
          <w:szCs w:val="20"/>
        </w:rPr>
        <w:t>2022</w:t>
      </w:r>
    </w:p>
    <w:p w14:paraId="186707CC" w14:textId="77777777" w:rsidR="00893701" w:rsidRPr="00A33737" w:rsidRDefault="00893701" w:rsidP="00893701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893701" w:rsidRPr="00A33737" w14:paraId="47BD1790" w14:textId="77777777" w:rsidTr="00F34FF9">
        <w:trPr>
          <w:trHeight w:val="68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3A2E484" w14:textId="77777777" w:rsidR="00893701" w:rsidRPr="00A33737" w:rsidRDefault="00893701" w:rsidP="00F34FF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FFFFFF"/>
              </w:rPr>
            </w:pPr>
            <w:bookmarkStart w:id="3" w:name="_Annexes_:_dispositions"/>
            <w:bookmarkStart w:id="4" w:name="_Annexe_:_Dispositions"/>
            <w:bookmarkEnd w:id="3"/>
            <w:bookmarkEnd w:id="4"/>
            <w:r w:rsidRPr="00A33737">
              <w:rPr>
                <w:rFonts w:ascii="Century Gothic" w:hAnsi="Century Gothic" w:cs="Calibri"/>
                <w:b/>
                <w:color w:val="FFFFFF"/>
              </w:rPr>
              <w:t>Collège des employeurs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B2579C3" w14:textId="77777777" w:rsidR="00893701" w:rsidRPr="00A33737" w:rsidRDefault="00893701" w:rsidP="00F34FF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FFFFFF"/>
              </w:rPr>
            </w:pPr>
            <w:r w:rsidRPr="00A33737">
              <w:rPr>
                <w:rFonts w:ascii="Century Gothic" w:hAnsi="Century Gothic" w:cs="Calibri"/>
                <w:b/>
                <w:color w:val="FFFFFF"/>
              </w:rPr>
              <w:t>Collège des salariés</w:t>
            </w:r>
          </w:p>
        </w:tc>
      </w:tr>
      <w:tr w:rsidR="00893701" w:rsidRPr="00A33737" w14:paraId="227ABCFD" w14:textId="77777777" w:rsidTr="00F34FF9">
        <w:trPr>
          <w:trHeight w:val="1701"/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DD477" w14:textId="77777777" w:rsidR="00893701" w:rsidRPr="00A33737" w:rsidRDefault="00893701" w:rsidP="00F34FF9">
            <w:pPr>
              <w:rPr>
                <w:rFonts w:ascii="Century Gothic" w:hAnsi="Century Gothic" w:cs="Calibri"/>
              </w:rPr>
            </w:pPr>
            <w:r w:rsidRPr="00A33737">
              <w:rPr>
                <w:rFonts w:ascii="Century Gothic" w:hAnsi="Century Gothic" w:cs="Calibri"/>
                <w:b/>
              </w:rPr>
              <w:t>CEPNL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BB50" w14:textId="259050E2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FEP</w:t>
            </w:r>
            <w:r w:rsidR="00040715">
              <w:rPr>
                <w:rFonts w:ascii="Century Gothic" w:hAnsi="Century Gothic" w:cs="Calibri"/>
                <w:b/>
              </w:rPr>
              <w:t>-</w:t>
            </w:r>
            <w:r w:rsidRPr="00A33737">
              <w:rPr>
                <w:rFonts w:ascii="Century Gothic" w:hAnsi="Century Gothic" w:cs="Calibri"/>
                <w:b/>
              </w:rPr>
              <w:t>CFDT</w:t>
            </w:r>
          </w:p>
        </w:tc>
      </w:tr>
      <w:tr w:rsidR="00893701" w:rsidRPr="00A33737" w14:paraId="561B48FB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EFFA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141" w14:textId="5434C485" w:rsidR="00893701" w:rsidRPr="00A33737" w:rsidRDefault="00893701" w:rsidP="00F34FF9">
            <w:pPr>
              <w:rPr>
                <w:rFonts w:ascii="Century Gothic" w:hAnsi="Century Gothic"/>
              </w:rPr>
            </w:pPr>
            <w:r w:rsidRPr="00A33737">
              <w:rPr>
                <w:rFonts w:ascii="Century Gothic" w:hAnsi="Century Gothic" w:cs="Calibri"/>
                <w:b/>
              </w:rPr>
              <w:t>SNEC</w:t>
            </w:r>
            <w:r w:rsidR="00040715">
              <w:rPr>
                <w:rFonts w:ascii="Century Gothic" w:hAnsi="Century Gothic" w:cs="Calibri"/>
                <w:b/>
              </w:rPr>
              <w:t>-</w:t>
            </w:r>
            <w:r w:rsidRPr="00A33737">
              <w:rPr>
                <w:rFonts w:ascii="Century Gothic" w:hAnsi="Century Gothic" w:cs="Calibri"/>
                <w:b/>
              </w:rPr>
              <w:t xml:space="preserve">CFTC </w:t>
            </w:r>
          </w:p>
        </w:tc>
      </w:tr>
      <w:tr w:rsidR="00893701" w:rsidRPr="00A33737" w14:paraId="67402350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B473" w14:textId="77777777" w:rsidR="00893701" w:rsidRPr="00A33737" w:rsidRDefault="00893701" w:rsidP="00F34FF9">
            <w:pPr>
              <w:rPr>
                <w:rFonts w:ascii="Century Gothic" w:hAnsi="Century Gothic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5DD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SNEIP-CGT et SNPEFP-CGT</w:t>
            </w:r>
          </w:p>
        </w:tc>
      </w:tr>
      <w:tr w:rsidR="00893701" w:rsidRPr="00A33737" w14:paraId="523FBEB1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A0C9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800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SNFOEP</w:t>
            </w:r>
          </w:p>
        </w:tc>
      </w:tr>
      <w:tr w:rsidR="00893701" w:rsidRPr="00A33737" w14:paraId="0E8BD45D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6C35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A47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SPELC</w:t>
            </w:r>
          </w:p>
        </w:tc>
      </w:tr>
      <w:tr w:rsidR="00893701" w:rsidRPr="00A33737" w14:paraId="5C236FF5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9A9A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CDE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SUNDEP SUD SOLIDAIRE</w:t>
            </w:r>
          </w:p>
        </w:tc>
      </w:tr>
      <w:tr w:rsidR="00893701" w:rsidRPr="00A33737" w14:paraId="5FD9D6D8" w14:textId="77777777" w:rsidTr="00F34FF9">
        <w:trPr>
          <w:trHeight w:val="1701"/>
          <w:jc w:val="center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5A4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40A" w14:textId="77777777" w:rsidR="00893701" w:rsidRPr="00A33737" w:rsidRDefault="00893701" w:rsidP="00F34FF9">
            <w:pPr>
              <w:rPr>
                <w:rFonts w:ascii="Century Gothic" w:hAnsi="Century Gothic" w:cs="Calibri"/>
                <w:b/>
              </w:rPr>
            </w:pPr>
            <w:r w:rsidRPr="00A33737">
              <w:rPr>
                <w:rFonts w:ascii="Century Gothic" w:hAnsi="Century Gothic" w:cs="Calibri"/>
                <w:b/>
              </w:rPr>
              <w:t>SYNEP CFE CGC</w:t>
            </w:r>
          </w:p>
        </w:tc>
      </w:tr>
    </w:tbl>
    <w:p w14:paraId="4313F3AF" w14:textId="77777777" w:rsidR="00893701" w:rsidRPr="00A33737" w:rsidRDefault="00893701" w:rsidP="00893701">
      <w:pPr>
        <w:spacing w:after="0" w:line="240" w:lineRule="auto"/>
        <w:rPr>
          <w:rFonts w:ascii="Century Gothic" w:hAnsi="Century Gothic"/>
        </w:rPr>
      </w:pPr>
      <w:bookmarkStart w:id="5" w:name="_Fonction_n_"/>
      <w:bookmarkStart w:id="6" w:name="_Fonction_n__1"/>
      <w:bookmarkStart w:id="7" w:name="_Annexe_1.2_Description"/>
      <w:bookmarkStart w:id="8" w:name="_Annexe_3_Tableau"/>
      <w:bookmarkStart w:id="9" w:name="_Annexe_4"/>
      <w:bookmarkStart w:id="10" w:name="_Annexe_4_1"/>
      <w:bookmarkStart w:id="11" w:name="_Annexe_1.4_Emplois"/>
      <w:bookmarkStart w:id="12" w:name="_Annexe_2_Temps"/>
      <w:bookmarkStart w:id="13" w:name="_Annexe_2_Nombre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E55C9A0" w14:textId="77777777" w:rsidR="00F67EF5" w:rsidRPr="00864D54" w:rsidRDefault="00F67EF5" w:rsidP="00893701">
      <w:pPr>
        <w:spacing w:after="0" w:line="240" w:lineRule="auto"/>
        <w:ind w:left="4860"/>
        <w:jc w:val="right"/>
        <w:rPr>
          <w:rFonts w:ascii="Century Gothic" w:hAnsi="Century Gothic"/>
        </w:rPr>
      </w:pPr>
    </w:p>
    <w:sectPr w:rsidR="00F67EF5" w:rsidRPr="00864D54" w:rsidSect="003E31A3">
      <w:footerReference w:type="default" r:id="rId13"/>
      <w:pgSz w:w="11905" w:h="16837"/>
      <w:pgMar w:top="992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D866" w14:textId="77777777" w:rsidR="00F25E81" w:rsidRDefault="00F25E81" w:rsidP="0006370D">
      <w:pPr>
        <w:spacing w:after="0" w:line="240" w:lineRule="auto"/>
      </w:pPr>
      <w:r>
        <w:separator/>
      </w:r>
    </w:p>
  </w:endnote>
  <w:endnote w:type="continuationSeparator" w:id="0">
    <w:p w14:paraId="168D616D" w14:textId="77777777" w:rsidR="00F25E81" w:rsidRDefault="00F25E81" w:rsidP="000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197946"/>
      <w:docPartObj>
        <w:docPartGallery w:val="Page Numbers (Bottom of Page)"/>
        <w:docPartUnique/>
      </w:docPartObj>
    </w:sdtPr>
    <w:sdtEndPr/>
    <w:sdtContent>
      <w:p w14:paraId="0C723DD6" w14:textId="157620C1" w:rsidR="00163843" w:rsidRDefault="00163843" w:rsidP="001638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2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4DC2" w14:textId="77777777" w:rsidR="00F25E81" w:rsidRDefault="00F25E81" w:rsidP="0006370D">
      <w:pPr>
        <w:spacing w:after="0" w:line="240" w:lineRule="auto"/>
      </w:pPr>
      <w:r>
        <w:separator/>
      </w:r>
    </w:p>
  </w:footnote>
  <w:footnote w:type="continuationSeparator" w:id="0">
    <w:p w14:paraId="5778BF80" w14:textId="77777777" w:rsidR="00F25E81" w:rsidRDefault="00F25E81" w:rsidP="0006370D">
      <w:pPr>
        <w:spacing w:after="0" w:line="240" w:lineRule="auto"/>
      </w:pPr>
      <w:r>
        <w:continuationSeparator/>
      </w:r>
    </w:p>
  </w:footnote>
  <w:footnote w:id="1">
    <w:p w14:paraId="519E806D" w14:textId="003C1698" w:rsidR="00670FF1" w:rsidRPr="006502BD" w:rsidRDefault="00670FF1" w:rsidP="00670FF1">
      <w:pPr>
        <w:pStyle w:val="Notedebasdepage"/>
        <w:rPr>
          <w:rFonts w:ascii="Century Gothic" w:hAnsi="Century Gothic"/>
          <w:sz w:val="18"/>
          <w:szCs w:val="18"/>
        </w:rPr>
      </w:pPr>
      <w:r w:rsidRPr="006502BD">
        <w:rPr>
          <w:rStyle w:val="Appelnotedebasdep"/>
          <w:sz w:val="18"/>
          <w:szCs w:val="18"/>
        </w:rPr>
        <w:footnoteRef/>
      </w:r>
      <w:r w:rsidRPr="006502BD">
        <w:rPr>
          <w:rFonts w:ascii="Century Gothic" w:hAnsi="Century Gothic"/>
          <w:sz w:val="18"/>
          <w:szCs w:val="18"/>
        </w:rPr>
        <w:t xml:space="preserve"> </w:t>
      </w:r>
      <w:r w:rsidRPr="006502BD">
        <w:rPr>
          <w:rFonts w:ascii="Century Gothic" w:hAnsi="Century Gothic" w:cs="Calibri"/>
          <w:sz w:val="18"/>
          <w:szCs w:val="18"/>
        </w:rPr>
        <w:t>C. trav., art. L. 2222-3-1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C8C"/>
    <w:multiLevelType w:val="hybridMultilevel"/>
    <w:tmpl w:val="1960E2F4"/>
    <w:lvl w:ilvl="0" w:tplc="3F841D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D33"/>
    <w:multiLevelType w:val="hybridMultilevel"/>
    <w:tmpl w:val="F15C1614"/>
    <w:lvl w:ilvl="0" w:tplc="49AA8D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D7D"/>
    <w:multiLevelType w:val="hybridMultilevel"/>
    <w:tmpl w:val="791EF882"/>
    <w:lvl w:ilvl="0" w:tplc="9E9A035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28A"/>
    <w:multiLevelType w:val="hybridMultilevel"/>
    <w:tmpl w:val="C81C95F6"/>
    <w:lvl w:ilvl="0" w:tplc="8ED888BA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CF9"/>
    <w:multiLevelType w:val="hybridMultilevel"/>
    <w:tmpl w:val="EB4697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13A04"/>
    <w:multiLevelType w:val="hybridMultilevel"/>
    <w:tmpl w:val="BB787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2A02"/>
    <w:multiLevelType w:val="hybridMultilevel"/>
    <w:tmpl w:val="8278ABD0"/>
    <w:lvl w:ilvl="0" w:tplc="870434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2CA"/>
    <w:multiLevelType w:val="hybridMultilevel"/>
    <w:tmpl w:val="0D42077E"/>
    <w:lvl w:ilvl="0" w:tplc="76B8F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387E"/>
    <w:multiLevelType w:val="hybridMultilevel"/>
    <w:tmpl w:val="E506C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1F7"/>
    <w:multiLevelType w:val="hybridMultilevel"/>
    <w:tmpl w:val="2A2AEB70"/>
    <w:lvl w:ilvl="0" w:tplc="76B8FA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D34D9C"/>
    <w:multiLevelType w:val="hybridMultilevel"/>
    <w:tmpl w:val="16202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C5"/>
    <w:multiLevelType w:val="multilevel"/>
    <w:tmpl w:val="1E5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073"/>
    <w:multiLevelType w:val="hybridMultilevel"/>
    <w:tmpl w:val="9B72EC80"/>
    <w:lvl w:ilvl="0" w:tplc="FFFFFFFF">
      <w:start w:val="1"/>
      <w:numFmt w:val="decimal"/>
      <w:lvlText w:val="%1."/>
      <w:lvlJc w:val="left"/>
      <w:pPr>
        <w:ind w:left="705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41297E73"/>
    <w:multiLevelType w:val="hybridMultilevel"/>
    <w:tmpl w:val="C3F2C53E"/>
    <w:lvl w:ilvl="0" w:tplc="C23AD53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25D59"/>
    <w:multiLevelType w:val="hybridMultilevel"/>
    <w:tmpl w:val="BFAE20A2"/>
    <w:lvl w:ilvl="0" w:tplc="C23AD53E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849CA2"/>
    <w:multiLevelType w:val="singleLevel"/>
    <w:tmpl w:val="F581E044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6" w15:restartNumberingAfterBreak="0">
    <w:nsid w:val="458A7B8E"/>
    <w:multiLevelType w:val="singleLevel"/>
    <w:tmpl w:val="B0A294A4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7" w15:restartNumberingAfterBreak="0">
    <w:nsid w:val="46231F9E"/>
    <w:multiLevelType w:val="singleLevel"/>
    <w:tmpl w:val="B1F4E665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8" w15:restartNumberingAfterBreak="0">
    <w:nsid w:val="482C0DB3"/>
    <w:multiLevelType w:val="hybridMultilevel"/>
    <w:tmpl w:val="71A2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04EEF"/>
    <w:multiLevelType w:val="hybridMultilevel"/>
    <w:tmpl w:val="C3CC2452"/>
    <w:lvl w:ilvl="0" w:tplc="8FF2C7B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5665"/>
    <w:multiLevelType w:val="hybridMultilevel"/>
    <w:tmpl w:val="6EF052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4559"/>
    <w:multiLevelType w:val="hybridMultilevel"/>
    <w:tmpl w:val="59628C38"/>
    <w:lvl w:ilvl="0" w:tplc="D8283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4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08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4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8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4E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A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C11130"/>
    <w:multiLevelType w:val="hybridMultilevel"/>
    <w:tmpl w:val="3E70A4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E269C"/>
    <w:multiLevelType w:val="hybridMultilevel"/>
    <w:tmpl w:val="16F2A3D6"/>
    <w:lvl w:ilvl="0" w:tplc="040C000F">
      <w:start w:val="1"/>
      <w:numFmt w:val="decimal"/>
      <w:lvlText w:val="%1."/>
      <w:lvlJc w:val="left"/>
      <w:pPr>
        <w:ind w:left="705" w:hanging="360"/>
      </w:pPr>
      <w:rPr>
        <w:rFonts w:hint="eastAsia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DD739D0"/>
    <w:multiLevelType w:val="hybridMultilevel"/>
    <w:tmpl w:val="43021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952C1"/>
    <w:multiLevelType w:val="hybridMultilevel"/>
    <w:tmpl w:val="951CCF3C"/>
    <w:lvl w:ilvl="0" w:tplc="816C84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60ABF"/>
    <w:multiLevelType w:val="hybridMultilevel"/>
    <w:tmpl w:val="EB46976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510824"/>
    <w:multiLevelType w:val="hybridMultilevel"/>
    <w:tmpl w:val="16F2A3D6"/>
    <w:lvl w:ilvl="0" w:tplc="040C000F">
      <w:start w:val="1"/>
      <w:numFmt w:val="decimal"/>
      <w:lvlText w:val="%1."/>
      <w:lvlJc w:val="left"/>
      <w:pPr>
        <w:ind w:left="705" w:hanging="360"/>
      </w:pPr>
      <w:rPr>
        <w:rFonts w:hint="eastAsia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1744750"/>
    <w:multiLevelType w:val="hybridMultilevel"/>
    <w:tmpl w:val="162029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82303">
    <w:abstractNumId w:val="16"/>
  </w:num>
  <w:num w:numId="2" w16cid:durableId="1882129131">
    <w:abstractNumId w:val="16"/>
  </w:num>
  <w:num w:numId="3" w16cid:durableId="1068964732">
    <w:abstractNumId w:val="16"/>
  </w:num>
  <w:num w:numId="4" w16cid:durableId="214699745">
    <w:abstractNumId w:val="15"/>
  </w:num>
  <w:num w:numId="5" w16cid:durableId="799229073">
    <w:abstractNumId w:val="15"/>
  </w:num>
  <w:num w:numId="6" w16cid:durableId="1344817176">
    <w:abstractNumId w:val="15"/>
  </w:num>
  <w:num w:numId="7" w16cid:durableId="420563652">
    <w:abstractNumId w:val="15"/>
  </w:num>
  <w:num w:numId="8" w16cid:durableId="705519913">
    <w:abstractNumId w:val="15"/>
  </w:num>
  <w:num w:numId="9" w16cid:durableId="410740651">
    <w:abstractNumId w:val="15"/>
  </w:num>
  <w:num w:numId="10" w16cid:durableId="112754155">
    <w:abstractNumId w:val="15"/>
  </w:num>
  <w:num w:numId="11" w16cid:durableId="231816972">
    <w:abstractNumId w:val="15"/>
  </w:num>
  <w:num w:numId="12" w16cid:durableId="312871768">
    <w:abstractNumId w:val="17"/>
  </w:num>
  <w:num w:numId="13" w16cid:durableId="1440756513">
    <w:abstractNumId w:val="17"/>
  </w:num>
  <w:num w:numId="14" w16cid:durableId="1152062409">
    <w:abstractNumId w:val="17"/>
  </w:num>
  <w:num w:numId="15" w16cid:durableId="127170161">
    <w:abstractNumId w:val="17"/>
  </w:num>
  <w:num w:numId="16" w16cid:durableId="307829204">
    <w:abstractNumId w:val="17"/>
  </w:num>
  <w:num w:numId="17" w16cid:durableId="2135829836">
    <w:abstractNumId w:val="17"/>
  </w:num>
  <w:num w:numId="18" w16cid:durableId="167064418">
    <w:abstractNumId w:val="17"/>
  </w:num>
  <w:num w:numId="19" w16cid:durableId="20635534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522891">
    <w:abstractNumId w:val="3"/>
  </w:num>
  <w:num w:numId="21" w16cid:durableId="83964764">
    <w:abstractNumId w:val="3"/>
  </w:num>
  <w:num w:numId="22" w16cid:durableId="1412695169">
    <w:abstractNumId w:val="20"/>
  </w:num>
  <w:num w:numId="23" w16cid:durableId="1741830827">
    <w:abstractNumId w:val="18"/>
  </w:num>
  <w:num w:numId="24" w16cid:durableId="1798839726">
    <w:abstractNumId w:val="14"/>
  </w:num>
  <w:num w:numId="25" w16cid:durableId="1062752295">
    <w:abstractNumId w:val="11"/>
  </w:num>
  <w:num w:numId="26" w16cid:durableId="1760756907">
    <w:abstractNumId w:val="22"/>
  </w:num>
  <w:num w:numId="27" w16cid:durableId="1438863089">
    <w:abstractNumId w:val="13"/>
  </w:num>
  <w:num w:numId="28" w16cid:durableId="180945010">
    <w:abstractNumId w:val="26"/>
  </w:num>
  <w:num w:numId="29" w16cid:durableId="753472496">
    <w:abstractNumId w:val="4"/>
  </w:num>
  <w:num w:numId="30" w16cid:durableId="936403965">
    <w:abstractNumId w:val="21"/>
  </w:num>
  <w:num w:numId="31" w16cid:durableId="1699163673">
    <w:abstractNumId w:val="8"/>
  </w:num>
  <w:num w:numId="32" w16cid:durableId="1639601552">
    <w:abstractNumId w:val="1"/>
  </w:num>
  <w:num w:numId="33" w16cid:durableId="1407921024">
    <w:abstractNumId w:val="5"/>
  </w:num>
  <w:num w:numId="34" w16cid:durableId="340670034">
    <w:abstractNumId w:val="2"/>
  </w:num>
  <w:num w:numId="35" w16cid:durableId="473983468">
    <w:abstractNumId w:val="19"/>
  </w:num>
  <w:num w:numId="36" w16cid:durableId="1483618491">
    <w:abstractNumId w:val="24"/>
  </w:num>
  <w:num w:numId="37" w16cid:durableId="1493834156">
    <w:abstractNumId w:val="0"/>
  </w:num>
  <w:num w:numId="38" w16cid:durableId="1549337204">
    <w:abstractNumId w:val="7"/>
  </w:num>
  <w:num w:numId="39" w16cid:durableId="239871439">
    <w:abstractNumId w:val="25"/>
  </w:num>
  <w:num w:numId="40" w16cid:durableId="886140016">
    <w:abstractNumId w:val="27"/>
  </w:num>
  <w:num w:numId="41" w16cid:durableId="1078403439">
    <w:abstractNumId w:val="6"/>
  </w:num>
  <w:num w:numId="42" w16cid:durableId="1391996547">
    <w:abstractNumId w:val="23"/>
  </w:num>
  <w:num w:numId="43" w16cid:durableId="449252471">
    <w:abstractNumId w:val="28"/>
  </w:num>
  <w:num w:numId="44" w16cid:durableId="712198064">
    <w:abstractNumId w:val="10"/>
  </w:num>
  <w:num w:numId="45" w16cid:durableId="290979937">
    <w:abstractNumId w:val="9"/>
  </w:num>
  <w:num w:numId="46" w16cid:durableId="1558084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EB"/>
    <w:rsid w:val="00003413"/>
    <w:rsid w:val="00004F7A"/>
    <w:rsid w:val="00006FEC"/>
    <w:rsid w:val="00013975"/>
    <w:rsid w:val="00017082"/>
    <w:rsid w:val="0003388B"/>
    <w:rsid w:val="00033D46"/>
    <w:rsid w:val="0003609B"/>
    <w:rsid w:val="0003757A"/>
    <w:rsid w:val="00037C04"/>
    <w:rsid w:val="00040715"/>
    <w:rsid w:val="000473D3"/>
    <w:rsid w:val="000536C6"/>
    <w:rsid w:val="00054A87"/>
    <w:rsid w:val="00054A95"/>
    <w:rsid w:val="00055A67"/>
    <w:rsid w:val="00062C05"/>
    <w:rsid w:val="0006370D"/>
    <w:rsid w:val="00064308"/>
    <w:rsid w:val="000677DC"/>
    <w:rsid w:val="0007239C"/>
    <w:rsid w:val="0007262B"/>
    <w:rsid w:val="0007561E"/>
    <w:rsid w:val="0008347E"/>
    <w:rsid w:val="000862FC"/>
    <w:rsid w:val="000941B2"/>
    <w:rsid w:val="000B2491"/>
    <w:rsid w:val="000B4737"/>
    <w:rsid w:val="000C04FB"/>
    <w:rsid w:val="000C2413"/>
    <w:rsid w:val="000D564D"/>
    <w:rsid w:val="000D7C37"/>
    <w:rsid w:val="000E42D5"/>
    <w:rsid w:val="000E51CF"/>
    <w:rsid w:val="000F6DCE"/>
    <w:rsid w:val="00101F6A"/>
    <w:rsid w:val="0010401D"/>
    <w:rsid w:val="00105038"/>
    <w:rsid w:val="0010519F"/>
    <w:rsid w:val="00140F5E"/>
    <w:rsid w:val="00147AFC"/>
    <w:rsid w:val="0015567D"/>
    <w:rsid w:val="00156C84"/>
    <w:rsid w:val="00156FA1"/>
    <w:rsid w:val="00163843"/>
    <w:rsid w:val="001719EB"/>
    <w:rsid w:val="001721E3"/>
    <w:rsid w:val="00176573"/>
    <w:rsid w:val="001803ED"/>
    <w:rsid w:val="00181542"/>
    <w:rsid w:val="00186978"/>
    <w:rsid w:val="00193572"/>
    <w:rsid w:val="001B2766"/>
    <w:rsid w:val="001B353D"/>
    <w:rsid w:val="001B66CF"/>
    <w:rsid w:val="001F7A6A"/>
    <w:rsid w:val="00200AC1"/>
    <w:rsid w:val="002022D3"/>
    <w:rsid w:val="002024B2"/>
    <w:rsid w:val="00203208"/>
    <w:rsid w:val="002138A1"/>
    <w:rsid w:val="00215757"/>
    <w:rsid w:val="00225BE2"/>
    <w:rsid w:val="00230E00"/>
    <w:rsid w:val="00246535"/>
    <w:rsid w:val="00250086"/>
    <w:rsid w:val="002521BC"/>
    <w:rsid w:val="00252B5E"/>
    <w:rsid w:val="00261B22"/>
    <w:rsid w:val="00262CA3"/>
    <w:rsid w:val="0026425B"/>
    <w:rsid w:val="00282ABC"/>
    <w:rsid w:val="00284C6C"/>
    <w:rsid w:val="002851F7"/>
    <w:rsid w:val="00294F2E"/>
    <w:rsid w:val="00297EE3"/>
    <w:rsid w:val="002A1011"/>
    <w:rsid w:val="002A4B61"/>
    <w:rsid w:val="002A6E46"/>
    <w:rsid w:val="002C32E2"/>
    <w:rsid w:val="002C6B8E"/>
    <w:rsid w:val="002D139C"/>
    <w:rsid w:val="002D6E92"/>
    <w:rsid w:val="002F651C"/>
    <w:rsid w:val="002F67DE"/>
    <w:rsid w:val="003019BE"/>
    <w:rsid w:val="003033F1"/>
    <w:rsid w:val="003074A6"/>
    <w:rsid w:val="003163E0"/>
    <w:rsid w:val="003214F0"/>
    <w:rsid w:val="00322B37"/>
    <w:rsid w:val="00343840"/>
    <w:rsid w:val="00363B52"/>
    <w:rsid w:val="0036479B"/>
    <w:rsid w:val="00364C0A"/>
    <w:rsid w:val="0039328C"/>
    <w:rsid w:val="0039332F"/>
    <w:rsid w:val="003A1AC8"/>
    <w:rsid w:val="003A6C7D"/>
    <w:rsid w:val="003B5A76"/>
    <w:rsid w:val="003B7F5D"/>
    <w:rsid w:val="003C7CB7"/>
    <w:rsid w:val="003D23CC"/>
    <w:rsid w:val="003D72BA"/>
    <w:rsid w:val="003E31A3"/>
    <w:rsid w:val="003F076C"/>
    <w:rsid w:val="003F2BE9"/>
    <w:rsid w:val="003F3693"/>
    <w:rsid w:val="00413D2E"/>
    <w:rsid w:val="00417B54"/>
    <w:rsid w:val="00423098"/>
    <w:rsid w:val="00427502"/>
    <w:rsid w:val="00433D42"/>
    <w:rsid w:val="0043671E"/>
    <w:rsid w:val="004410DD"/>
    <w:rsid w:val="004411EF"/>
    <w:rsid w:val="00442152"/>
    <w:rsid w:val="00442A6D"/>
    <w:rsid w:val="00450C88"/>
    <w:rsid w:val="004537E9"/>
    <w:rsid w:val="004552AE"/>
    <w:rsid w:val="004633D7"/>
    <w:rsid w:val="00477DCE"/>
    <w:rsid w:val="00487ABF"/>
    <w:rsid w:val="004918D9"/>
    <w:rsid w:val="004A40B0"/>
    <w:rsid w:val="004A4787"/>
    <w:rsid w:val="004A6CBC"/>
    <w:rsid w:val="004A7AE1"/>
    <w:rsid w:val="004B5331"/>
    <w:rsid w:val="004C2E60"/>
    <w:rsid w:val="004C74AF"/>
    <w:rsid w:val="004D4222"/>
    <w:rsid w:val="00503AAA"/>
    <w:rsid w:val="00513FB6"/>
    <w:rsid w:val="00514AD7"/>
    <w:rsid w:val="005246D2"/>
    <w:rsid w:val="00526056"/>
    <w:rsid w:val="005267DE"/>
    <w:rsid w:val="00531A3D"/>
    <w:rsid w:val="00540AAA"/>
    <w:rsid w:val="00546571"/>
    <w:rsid w:val="0055550B"/>
    <w:rsid w:val="00555A7B"/>
    <w:rsid w:val="00560115"/>
    <w:rsid w:val="00576730"/>
    <w:rsid w:val="00584D2B"/>
    <w:rsid w:val="005865DC"/>
    <w:rsid w:val="005B12E9"/>
    <w:rsid w:val="005B47D4"/>
    <w:rsid w:val="005C0D3F"/>
    <w:rsid w:val="005C68C2"/>
    <w:rsid w:val="005E0BD8"/>
    <w:rsid w:val="005E1AB6"/>
    <w:rsid w:val="005E2399"/>
    <w:rsid w:val="005E5047"/>
    <w:rsid w:val="005F2918"/>
    <w:rsid w:val="005F45A5"/>
    <w:rsid w:val="00600FF5"/>
    <w:rsid w:val="006023E3"/>
    <w:rsid w:val="0061241A"/>
    <w:rsid w:val="006131AE"/>
    <w:rsid w:val="00613854"/>
    <w:rsid w:val="00625DEB"/>
    <w:rsid w:val="0063695A"/>
    <w:rsid w:val="00641687"/>
    <w:rsid w:val="00645A35"/>
    <w:rsid w:val="006479B1"/>
    <w:rsid w:val="00647D39"/>
    <w:rsid w:val="006502AA"/>
    <w:rsid w:val="0065135A"/>
    <w:rsid w:val="00670FF1"/>
    <w:rsid w:val="006725C2"/>
    <w:rsid w:val="0067422C"/>
    <w:rsid w:val="00674FF9"/>
    <w:rsid w:val="006A0ACC"/>
    <w:rsid w:val="006A3C10"/>
    <w:rsid w:val="006A685F"/>
    <w:rsid w:val="006A6D70"/>
    <w:rsid w:val="006B597E"/>
    <w:rsid w:val="006B5B49"/>
    <w:rsid w:val="006C03DB"/>
    <w:rsid w:val="006C41C7"/>
    <w:rsid w:val="006C61B5"/>
    <w:rsid w:val="006D1BFB"/>
    <w:rsid w:val="00705D5D"/>
    <w:rsid w:val="007064AC"/>
    <w:rsid w:val="00717C7E"/>
    <w:rsid w:val="00720CFA"/>
    <w:rsid w:val="007278A9"/>
    <w:rsid w:val="0073549B"/>
    <w:rsid w:val="00735D11"/>
    <w:rsid w:val="007406C6"/>
    <w:rsid w:val="0075293F"/>
    <w:rsid w:val="0076099A"/>
    <w:rsid w:val="007618C4"/>
    <w:rsid w:val="00763379"/>
    <w:rsid w:val="007652A9"/>
    <w:rsid w:val="007757DB"/>
    <w:rsid w:val="007778AB"/>
    <w:rsid w:val="00777BF0"/>
    <w:rsid w:val="00783D8F"/>
    <w:rsid w:val="00784554"/>
    <w:rsid w:val="00792454"/>
    <w:rsid w:val="007A0A11"/>
    <w:rsid w:val="007B370C"/>
    <w:rsid w:val="007E0D20"/>
    <w:rsid w:val="007E6E22"/>
    <w:rsid w:val="007F330B"/>
    <w:rsid w:val="007F52A2"/>
    <w:rsid w:val="008114BF"/>
    <w:rsid w:val="0082748C"/>
    <w:rsid w:val="00830249"/>
    <w:rsid w:val="0084135B"/>
    <w:rsid w:val="00841779"/>
    <w:rsid w:val="00844224"/>
    <w:rsid w:val="00846CB8"/>
    <w:rsid w:val="00850D06"/>
    <w:rsid w:val="00857022"/>
    <w:rsid w:val="008615BD"/>
    <w:rsid w:val="00862FEC"/>
    <w:rsid w:val="00864D54"/>
    <w:rsid w:val="00870002"/>
    <w:rsid w:val="00874609"/>
    <w:rsid w:val="00882557"/>
    <w:rsid w:val="00885107"/>
    <w:rsid w:val="00886CA8"/>
    <w:rsid w:val="00890D9B"/>
    <w:rsid w:val="00893701"/>
    <w:rsid w:val="008A3D6B"/>
    <w:rsid w:val="008A513F"/>
    <w:rsid w:val="008A542A"/>
    <w:rsid w:val="008A70FA"/>
    <w:rsid w:val="008B1251"/>
    <w:rsid w:val="008B781D"/>
    <w:rsid w:val="008C5E75"/>
    <w:rsid w:val="008D0802"/>
    <w:rsid w:val="008E5A32"/>
    <w:rsid w:val="008F274B"/>
    <w:rsid w:val="008F2A6A"/>
    <w:rsid w:val="008F5CD0"/>
    <w:rsid w:val="008F790A"/>
    <w:rsid w:val="00901889"/>
    <w:rsid w:val="00903769"/>
    <w:rsid w:val="009039EB"/>
    <w:rsid w:val="00905A18"/>
    <w:rsid w:val="00906C8F"/>
    <w:rsid w:val="00914112"/>
    <w:rsid w:val="00926C73"/>
    <w:rsid w:val="00933667"/>
    <w:rsid w:val="009378C1"/>
    <w:rsid w:val="00953F80"/>
    <w:rsid w:val="00955BF8"/>
    <w:rsid w:val="00962E4B"/>
    <w:rsid w:val="00971F8E"/>
    <w:rsid w:val="00976832"/>
    <w:rsid w:val="00990B87"/>
    <w:rsid w:val="00994BE0"/>
    <w:rsid w:val="0099560B"/>
    <w:rsid w:val="009A123C"/>
    <w:rsid w:val="009A191E"/>
    <w:rsid w:val="009B2F03"/>
    <w:rsid w:val="009C4365"/>
    <w:rsid w:val="009E52BE"/>
    <w:rsid w:val="009F426B"/>
    <w:rsid w:val="009F6AC7"/>
    <w:rsid w:val="00A11B0E"/>
    <w:rsid w:val="00A150F1"/>
    <w:rsid w:val="00A26EBD"/>
    <w:rsid w:val="00A3058F"/>
    <w:rsid w:val="00A33515"/>
    <w:rsid w:val="00A45D5D"/>
    <w:rsid w:val="00A55BE9"/>
    <w:rsid w:val="00A625F3"/>
    <w:rsid w:val="00A66144"/>
    <w:rsid w:val="00A7143C"/>
    <w:rsid w:val="00A83D19"/>
    <w:rsid w:val="00A87F11"/>
    <w:rsid w:val="00A9100C"/>
    <w:rsid w:val="00A9247F"/>
    <w:rsid w:val="00A94868"/>
    <w:rsid w:val="00A96AA9"/>
    <w:rsid w:val="00AA5491"/>
    <w:rsid w:val="00AA69B7"/>
    <w:rsid w:val="00AA69DD"/>
    <w:rsid w:val="00AB4791"/>
    <w:rsid w:val="00AB4C2B"/>
    <w:rsid w:val="00AC3AB8"/>
    <w:rsid w:val="00AD13E2"/>
    <w:rsid w:val="00AD45E5"/>
    <w:rsid w:val="00AD5C06"/>
    <w:rsid w:val="00AD7873"/>
    <w:rsid w:val="00AF18FA"/>
    <w:rsid w:val="00B00E5A"/>
    <w:rsid w:val="00B11A03"/>
    <w:rsid w:val="00B14A31"/>
    <w:rsid w:val="00B15AAE"/>
    <w:rsid w:val="00B22EAA"/>
    <w:rsid w:val="00B272CD"/>
    <w:rsid w:val="00B33F5C"/>
    <w:rsid w:val="00B35CA4"/>
    <w:rsid w:val="00B40735"/>
    <w:rsid w:val="00B41E3B"/>
    <w:rsid w:val="00B45CF2"/>
    <w:rsid w:val="00B60166"/>
    <w:rsid w:val="00B604E4"/>
    <w:rsid w:val="00B61AC5"/>
    <w:rsid w:val="00B93243"/>
    <w:rsid w:val="00BA20DB"/>
    <w:rsid w:val="00BA66B8"/>
    <w:rsid w:val="00BA786B"/>
    <w:rsid w:val="00BB4767"/>
    <w:rsid w:val="00BC04DF"/>
    <w:rsid w:val="00BC772A"/>
    <w:rsid w:val="00BD368F"/>
    <w:rsid w:val="00BD5914"/>
    <w:rsid w:val="00BD793D"/>
    <w:rsid w:val="00BE73DA"/>
    <w:rsid w:val="00BF1AC1"/>
    <w:rsid w:val="00BF1F0F"/>
    <w:rsid w:val="00BF7684"/>
    <w:rsid w:val="00C21AE4"/>
    <w:rsid w:val="00C24C87"/>
    <w:rsid w:val="00C27756"/>
    <w:rsid w:val="00C278B7"/>
    <w:rsid w:val="00C41473"/>
    <w:rsid w:val="00C54942"/>
    <w:rsid w:val="00C60F2A"/>
    <w:rsid w:val="00C65495"/>
    <w:rsid w:val="00C77885"/>
    <w:rsid w:val="00C80C09"/>
    <w:rsid w:val="00C86D25"/>
    <w:rsid w:val="00C91578"/>
    <w:rsid w:val="00C91A28"/>
    <w:rsid w:val="00C93C6B"/>
    <w:rsid w:val="00CA1B0D"/>
    <w:rsid w:val="00CA1D3A"/>
    <w:rsid w:val="00CA238D"/>
    <w:rsid w:val="00CC3486"/>
    <w:rsid w:val="00CF3C61"/>
    <w:rsid w:val="00D06A8F"/>
    <w:rsid w:val="00D117D4"/>
    <w:rsid w:val="00D12D65"/>
    <w:rsid w:val="00D13627"/>
    <w:rsid w:val="00D14AAB"/>
    <w:rsid w:val="00D23BFF"/>
    <w:rsid w:val="00D27EB7"/>
    <w:rsid w:val="00D30672"/>
    <w:rsid w:val="00D32F9B"/>
    <w:rsid w:val="00D41ED5"/>
    <w:rsid w:val="00D47712"/>
    <w:rsid w:val="00D51F4D"/>
    <w:rsid w:val="00D5278F"/>
    <w:rsid w:val="00D54FB3"/>
    <w:rsid w:val="00D62B70"/>
    <w:rsid w:val="00D65339"/>
    <w:rsid w:val="00D92307"/>
    <w:rsid w:val="00D94F76"/>
    <w:rsid w:val="00DA0443"/>
    <w:rsid w:val="00DA61A6"/>
    <w:rsid w:val="00DB0F5A"/>
    <w:rsid w:val="00DB46AD"/>
    <w:rsid w:val="00DB54D7"/>
    <w:rsid w:val="00DB6C16"/>
    <w:rsid w:val="00DC03DE"/>
    <w:rsid w:val="00DC0D6B"/>
    <w:rsid w:val="00DC7590"/>
    <w:rsid w:val="00DD0122"/>
    <w:rsid w:val="00DF13BC"/>
    <w:rsid w:val="00DF4FC5"/>
    <w:rsid w:val="00E01411"/>
    <w:rsid w:val="00E02413"/>
    <w:rsid w:val="00E071B9"/>
    <w:rsid w:val="00E135D1"/>
    <w:rsid w:val="00E22CD9"/>
    <w:rsid w:val="00E2526B"/>
    <w:rsid w:val="00E30560"/>
    <w:rsid w:val="00E34E8F"/>
    <w:rsid w:val="00E4510A"/>
    <w:rsid w:val="00E4685D"/>
    <w:rsid w:val="00E52896"/>
    <w:rsid w:val="00E56ED8"/>
    <w:rsid w:val="00E62609"/>
    <w:rsid w:val="00E6357C"/>
    <w:rsid w:val="00E643C7"/>
    <w:rsid w:val="00E65029"/>
    <w:rsid w:val="00E722D7"/>
    <w:rsid w:val="00E8115A"/>
    <w:rsid w:val="00EA042A"/>
    <w:rsid w:val="00EA1715"/>
    <w:rsid w:val="00EA70D2"/>
    <w:rsid w:val="00ED0E63"/>
    <w:rsid w:val="00ED0EF2"/>
    <w:rsid w:val="00ED0FC4"/>
    <w:rsid w:val="00ED6E9F"/>
    <w:rsid w:val="00EE279F"/>
    <w:rsid w:val="00EF3845"/>
    <w:rsid w:val="00EF6730"/>
    <w:rsid w:val="00F02452"/>
    <w:rsid w:val="00F0448B"/>
    <w:rsid w:val="00F17641"/>
    <w:rsid w:val="00F1767C"/>
    <w:rsid w:val="00F25E81"/>
    <w:rsid w:val="00F30214"/>
    <w:rsid w:val="00F35A8F"/>
    <w:rsid w:val="00F655E1"/>
    <w:rsid w:val="00F67EF5"/>
    <w:rsid w:val="00F70793"/>
    <w:rsid w:val="00F72E48"/>
    <w:rsid w:val="00F756A9"/>
    <w:rsid w:val="00F76533"/>
    <w:rsid w:val="00F820B8"/>
    <w:rsid w:val="00F87C85"/>
    <w:rsid w:val="00F96D85"/>
    <w:rsid w:val="00FA4360"/>
    <w:rsid w:val="00FA647C"/>
    <w:rsid w:val="00FB3B21"/>
    <w:rsid w:val="00FC1571"/>
    <w:rsid w:val="00FC3081"/>
    <w:rsid w:val="00FC446C"/>
    <w:rsid w:val="00FD29CA"/>
    <w:rsid w:val="00FD51AE"/>
    <w:rsid w:val="00FD550C"/>
    <w:rsid w:val="00FE1914"/>
    <w:rsid w:val="00FE61EA"/>
    <w:rsid w:val="00FF04D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48B0F"/>
  <w15:chartTrackingRefBased/>
  <w15:docId w15:val="{C94DA7F1-830E-45CA-A4F9-DB1EF88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3024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Century Gothic" w:hAnsi="Century Gothic" w:cs="Arial"/>
      <w:b/>
      <w:color w:val="1F49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370D"/>
    <w:pPr>
      <w:keepNext/>
      <w:keepLines/>
      <w:spacing w:before="40" w:after="0" w:line="240" w:lineRule="auto"/>
      <w:jc w:val="both"/>
      <w:outlineLvl w:val="1"/>
    </w:pPr>
    <w:rPr>
      <w:b/>
      <w:color w:val="2F5496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62F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Century Gothic" w:hAnsi="Century Gothic" w:cs="Arial"/>
      <w:b/>
      <w:i/>
      <w:iCs/>
      <w:color w:val="1F497D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62FC"/>
    <w:pPr>
      <w:keepNext/>
      <w:spacing w:after="0" w:line="240" w:lineRule="auto"/>
      <w:ind w:left="567"/>
      <w:outlineLvl w:val="3"/>
    </w:pPr>
    <w:rPr>
      <w:rFonts w:ascii="Century Gothic" w:hAnsi="Century Gothic"/>
      <w:b/>
      <w:i/>
      <w:iCs/>
      <w:color w:val="1F497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4F2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Century Gothic" w:hAnsi="Century Gothic" w:cs="Arial"/>
      <w:i/>
      <w:iCs/>
      <w:color w:val="FF0000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93C6B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Century Gothic" w:hAnsi="Century Gothic"/>
      <w:b/>
      <w:i/>
      <w:iCs/>
      <w:strike/>
      <w:color w:val="365F9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F2918"/>
    <w:pPr>
      <w:keepNext/>
      <w:spacing w:after="0" w:line="240" w:lineRule="auto"/>
      <w:ind w:left="993" w:hanging="142"/>
      <w:outlineLvl w:val="6"/>
    </w:pPr>
    <w:rPr>
      <w:rFonts w:ascii="Century Gothic" w:hAnsi="Century Gothic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F67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hAnsi="Century Gothic" w:cs="Arial"/>
      <w:b/>
      <w:color w:val="44546A" w:themeColor="text2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B47D4"/>
    <w:pPr>
      <w:keepNext/>
      <w:spacing w:after="0" w:line="240" w:lineRule="auto"/>
      <w:ind w:left="993" w:hanging="142"/>
      <w:outlineLvl w:val="8"/>
    </w:pPr>
    <w:rPr>
      <w:rFonts w:ascii="Century Gothic" w:hAnsi="Century Gothic"/>
      <w:i/>
      <w:i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830249"/>
    <w:rPr>
      <w:rFonts w:ascii="Century Gothic" w:hAnsi="Century Gothic" w:cs="Times New Roman"/>
      <w:b/>
      <w:color w:val="1F497D"/>
      <w:sz w:val="28"/>
    </w:rPr>
  </w:style>
  <w:style w:type="character" w:customStyle="1" w:styleId="Titre2Car">
    <w:name w:val="Titre 2 Car"/>
    <w:link w:val="Titre2"/>
    <w:uiPriority w:val="9"/>
    <w:semiHidden/>
    <w:locked/>
    <w:rsid w:val="0006370D"/>
    <w:rPr>
      <w:rFonts w:eastAsia="Times New Roman" w:cs="Times New Roman"/>
      <w:b/>
      <w:color w:val="2F5496"/>
      <w:sz w:val="26"/>
    </w:rPr>
  </w:style>
  <w:style w:type="character" w:customStyle="1" w:styleId="Titre3Car">
    <w:name w:val="Titre 3 Car"/>
    <w:link w:val="Titre3"/>
    <w:uiPriority w:val="9"/>
    <w:locked/>
    <w:rsid w:val="000862FC"/>
    <w:rPr>
      <w:rFonts w:ascii="Century Gothic" w:hAnsi="Century Gothic" w:cs="Arial"/>
      <w:b/>
      <w:i/>
      <w:iCs/>
      <w:color w:val="1F497D"/>
      <w:sz w:val="28"/>
      <w:szCs w:val="28"/>
    </w:rPr>
  </w:style>
  <w:style w:type="character" w:customStyle="1" w:styleId="Titre4Car">
    <w:name w:val="Titre 4 Car"/>
    <w:link w:val="Titre4"/>
    <w:uiPriority w:val="9"/>
    <w:locked/>
    <w:rsid w:val="000862FC"/>
    <w:rPr>
      <w:rFonts w:ascii="Century Gothic" w:hAnsi="Century Gothic" w:cs="Times New Roman"/>
      <w:b/>
      <w:i/>
      <w:iCs/>
      <w:color w:val="1F497D"/>
      <w:sz w:val="22"/>
      <w:szCs w:val="22"/>
    </w:rPr>
  </w:style>
  <w:style w:type="character" w:styleId="Lienhypertexte">
    <w:name w:val="Hyperlink"/>
    <w:uiPriority w:val="99"/>
    <w:unhideWhenUsed/>
    <w:rsid w:val="0006370D"/>
    <w:rPr>
      <w:rFonts w:cs="Times New Roman"/>
      <w:color w:val="0563C1"/>
      <w:u w:val="single"/>
    </w:rPr>
  </w:style>
  <w:style w:type="paragraph" w:styleId="Notedebasdepage">
    <w:name w:val="footnote text"/>
    <w:aliases w:val="Note de bas de page gabarit Forthac"/>
    <w:basedOn w:val="Normal"/>
    <w:link w:val="NotedebasdepageCar"/>
    <w:uiPriority w:val="99"/>
    <w:unhideWhenUsed/>
    <w:rsid w:val="0006370D"/>
    <w:pPr>
      <w:spacing w:after="0" w:line="240" w:lineRule="auto"/>
      <w:jc w:val="both"/>
    </w:pPr>
    <w:rPr>
      <w:color w:val="000000"/>
      <w:sz w:val="20"/>
      <w:szCs w:val="20"/>
    </w:rPr>
  </w:style>
  <w:style w:type="character" w:customStyle="1" w:styleId="NotedebasdepageCar">
    <w:name w:val="Note de bas de page Car"/>
    <w:aliases w:val="Note de bas de page gabarit Forthac Car"/>
    <w:link w:val="Notedebasdepage"/>
    <w:uiPriority w:val="99"/>
    <w:locked/>
    <w:rsid w:val="0006370D"/>
    <w:rPr>
      <w:rFonts w:eastAsia="Times New Roman" w:cs="Times New Roman"/>
      <w:color w:val="000000"/>
      <w:sz w:val="20"/>
    </w:rPr>
  </w:style>
  <w:style w:type="paragraph" w:styleId="Paragraphedeliste">
    <w:name w:val="List Paragraph"/>
    <w:aliases w:val="corp de texte,Párrafo de lista,lp1,Paragraphe 3,Level 1 Puce,Puces,Bullet List,FooterText,List Paragraph1,numbered,Bulletr List Paragraph,列?出?段?落,列?出?段?落1,Liste à puce - Normal,EDF_Paragraphe,R1,Use Case List Paragraph,normal,Puce"/>
    <w:basedOn w:val="Normal"/>
    <w:link w:val="ParagraphedelisteCar"/>
    <w:uiPriority w:val="34"/>
    <w:qFormat/>
    <w:rsid w:val="0006370D"/>
    <w:pPr>
      <w:spacing w:after="0" w:line="240" w:lineRule="auto"/>
      <w:ind w:left="720"/>
      <w:contextualSpacing/>
      <w:jc w:val="both"/>
    </w:pPr>
    <w:rPr>
      <w:color w:val="000000"/>
      <w:sz w:val="24"/>
      <w:szCs w:val="20"/>
      <w:lang w:val="x-none" w:eastAsia="x-none"/>
    </w:rPr>
  </w:style>
  <w:style w:type="character" w:styleId="Appelnotedebasdep">
    <w:name w:val="footnote reference"/>
    <w:uiPriority w:val="99"/>
    <w:unhideWhenUsed/>
    <w:rsid w:val="0006370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BD3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DF13B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F13B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13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F13BC"/>
    <w:rPr>
      <w:rFonts w:cs="Times New Roman"/>
    </w:rPr>
  </w:style>
  <w:style w:type="paragraph" w:customStyle="1" w:styleId="CORPSDETEXTEBOLD">
    <w:name w:val="CORPS DE TEXTE BOLD"/>
    <w:basedOn w:val="Normal"/>
    <w:qFormat/>
    <w:rsid w:val="003163E0"/>
    <w:pPr>
      <w:spacing w:after="0"/>
    </w:pPr>
    <w:rPr>
      <w:rFonts w:ascii="Century Gothic" w:hAnsi="Century Gothic"/>
      <w:b/>
      <w:color w:val="000000"/>
    </w:rPr>
  </w:style>
  <w:style w:type="table" w:styleId="Grilledutableau">
    <w:name w:val="Table Grid"/>
    <w:basedOn w:val="TableauNormal"/>
    <w:uiPriority w:val="59"/>
    <w:unhideWhenUsed/>
    <w:rsid w:val="001719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D3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D30672"/>
    <w:rPr>
      <w:rFonts w:ascii="Segoe UI" w:hAnsi="Segoe UI" w:cs="Times New Roman"/>
      <w:sz w:val="18"/>
    </w:rPr>
  </w:style>
  <w:style w:type="character" w:styleId="Marquedecommentaire">
    <w:name w:val="annotation reference"/>
    <w:uiPriority w:val="99"/>
    <w:rsid w:val="00054A95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054A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054A95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54A9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054A95"/>
    <w:rPr>
      <w:rFonts w:cs="Times New Roman"/>
      <w:b/>
    </w:rPr>
  </w:style>
  <w:style w:type="paragraph" w:styleId="Rvision">
    <w:name w:val="Revision"/>
    <w:hidden/>
    <w:uiPriority w:val="99"/>
    <w:semiHidden/>
    <w:rsid w:val="00A9247F"/>
    <w:rPr>
      <w:rFonts w:cs="Times New Roman"/>
      <w:sz w:val="22"/>
      <w:szCs w:val="22"/>
    </w:rPr>
  </w:style>
  <w:style w:type="character" w:styleId="lev">
    <w:name w:val="Strong"/>
    <w:uiPriority w:val="22"/>
    <w:qFormat/>
    <w:rsid w:val="00363B52"/>
    <w:rPr>
      <w:rFonts w:cs="Times New Roman"/>
      <w:b/>
    </w:rPr>
  </w:style>
  <w:style w:type="paragraph" w:styleId="Retraitcorpsdetexte">
    <w:name w:val="Body Text Indent"/>
    <w:basedOn w:val="Normal"/>
    <w:link w:val="RetraitcorpsdetexteCar"/>
    <w:uiPriority w:val="99"/>
    <w:rsid w:val="00D62B70"/>
    <w:pPr>
      <w:spacing w:after="0" w:line="240" w:lineRule="auto"/>
      <w:ind w:left="1843" w:hanging="1276"/>
    </w:pPr>
    <w:rPr>
      <w:rFonts w:ascii="Century Gothic" w:hAnsi="Century Gothic"/>
      <w:b/>
      <w:color w:val="365F91"/>
    </w:rPr>
  </w:style>
  <w:style w:type="character" w:customStyle="1" w:styleId="RetraitcorpsdetexteCar">
    <w:name w:val="Retrait corps de texte Car"/>
    <w:link w:val="Retraitcorpsdetexte"/>
    <w:uiPriority w:val="99"/>
    <w:locked/>
    <w:rsid w:val="00D62B70"/>
    <w:rPr>
      <w:rFonts w:ascii="Century Gothic" w:hAnsi="Century Gothic" w:cs="Times New Roman"/>
      <w:b/>
      <w:color w:val="365F91"/>
      <w:sz w:val="22"/>
    </w:rPr>
  </w:style>
  <w:style w:type="paragraph" w:styleId="Retraitcorpsdetexte2">
    <w:name w:val="Body Text Indent 2"/>
    <w:basedOn w:val="Normal"/>
    <w:link w:val="Retraitcorpsdetexte2Car"/>
    <w:uiPriority w:val="99"/>
    <w:rsid w:val="000862FC"/>
    <w:pPr>
      <w:spacing w:after="0" w:line="240" w:lineRule="auto"/>
      <w:ind w:left="1985" w:hanging="1134"/>
    </w:pPr>
    <w:rPr>
      <w:rFonts w:ascii="Century Gothic" w:hAnsi="Century Gothic"/>
      <w:i/>
      <w:iCs/>
    </w:rPr>
  </w:style>
  <w:style w:type="character" w:customStyle="1" w:styleId="Retraitcorpsdetexte2Car">
    <w:name w:val="Retrait corps de texte 2 Car"/>
    <w:link w:val="Retraitcorpsdetexte2"/>
    <w:uiPriority w:val="99"/>
    <w:locked/>
    <w:rsid w:val="000862FC"/>
    <w:rPr>
      <w:rFonts w:ascii="Century Gothic" w:hAnsi="Century Gothic" w:cs="Times New Roman"/>
      <w:i/>
      <w:iCs/>
      <w:sz w:val="22"/>
      <w:szCs w:val="22"/>
    </w:rPr>
  </w:style>
  <w:style w:type="character" w:customStyle="1" w:styleId="ParagraphedelisteCar">
    <w:name w:val="Paragraphe de liste Car"/>
    <w:aliases w:val="corp de texte Car,Párrafo de lista Car,lp1 Car,Paragraphe 3 Car,Level 1 Puce Car,Puces Car,Bullet List Car,FooterText Car,List Paragraph1 Car,numbered Car,Bulletr List Paragraph Car,列?出?段?落 Car,列?出?段?落1 Car,EDF_Paragraphe Car"/>
    <w:link w:val="Paragraphedeliste"/>
    <w:uiPriority w:val="34"/>
    <w:locked/>
    <w:rsid w:val="002521BC"/>
    <w:rPr>
      <w:color w:val="000000"/>
      <w:sz w:val="24"/>
    </w:rPr>
  </w:style>
  <w:style w:type="paragraph" w:styleId="Corpsdetexte">
    <w:name w:val="Body Text"/>
    <w:basedOn w:val="Normal"/>
    <w:link w:val="CorpsdetexteCar"/>
    <w:uiPriority w:val="99"/>
    <w:rsid w:val="0036479B"/>
    <w:pPr>
      <w:spacing w:after="0" w:line="240" w:lineRule="auto"/>
      <w:jc w:val="both"/>
    </w:pPr>
    <w:rPr>
      <w:rFonts w:ascii="Century Gothic" w:hAnsi="Century Gothic"/>
      <w:i/>
      <w:iCs/>
    </w:rPr>
  </w:style>
  <w:style w:type="character" w:customStyle="1" w:styleId="CorpsdetexteCar">
    <w:name w:val="Corps de texte Car"/>
    <w:link w:val="Corpsdetexte"/>
    <w:uiPriority w:val="99"/>
    <w:locked/>
    <w:rsid w:val="0036479B"/>
    <w:rPr>
      <w:rFonts w:ascii="Century Gothic" w:hAnsi="Century Gothic" w:cs="Times New Roman"/>
      <w:i/>
      <w:iCs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94F2E"/>
    <w:rPr>
      <w:rFonts w:ascii="Century Gothic" w:hAnsi="Century Gothic" w:cs="Arial"/>
      <w:i/>
      <w:iCs/>
      <w:color w:val="FF0000"/>
      <w:sz w:val="18"/>
      <w:szCs w:val="18"/>
    </w:rPr>
  </w:style>
  <w:style w:type="paragraph" w:styleId="Retraitcorpsdetexte3">
    <w:name w:val="Body Text Indent 3"/>
    <w:basedOn w:val="Normal"/>
    <w:link w:val="Retraitcorpsdetexte3Car"/>
    <w:uiPriority w:val="99"/>
    <w:rsid w:val="00450C88"/>
    <w:pPr>
      <w:shd w:val="clear" w:color="auto" w:fill="002060"/>
      <w:spacing w:after="0" w:line="240" w:lineRule="auto"/>
      <w:ind w:left="55"/>
      <w:jc w:val="center"/>
    </w:pPr>
    <w:rPr>
      <w:rFonts w:ascii="Century Gothic" w:hAnsi="Century Gothic" w:cs="Calibri"/>
      <w:b/>
      <w:sz w:val="30"/>
      <w:szCs w:val="3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50C88"/>
    <w:rPr>
      <w:rFonts w:ascii="Century Gothic" w:hAnsi="Century Gothic"/>
      <w:b/>
      <w:sz w:val="30"/>
      <w:szCs w:val="30"/>
      <w:shd w:val="clear" w:color="auto" w:fill="002060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C93C6B"/>
    <w:rPr>
      <w:rFonts w:ascii="Century Gothic" w:hAnsi="Century Gothic" w:cs="Times New Roman"/>
      <w:b/>
      <w:i/>
      <w:iCs/>
      <w:strike/>
      <w:color w:val="365F91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5F2918"/>
    <w:rPr>
      <w:rFonts w:ascii="Century Gothic" w:hAnsi="Century Gothic" w:cs="Times New Roman"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2F67DE"/>
    <w:rPr>
      <w:rFonts w:ascii="Century Gothic" w:hAnsi="Century Gothic" w:cs="Arial"/>
      <w:b/>
      <w:color w:val="44546A" w:themeColor="text2"/>
      <w:sz w:val="32"/>
      <w:szCs w:val="32"/>
    </w:rPr>
  </w:style>
  <w:style w:type="character" w:customStyle="1" w:styleId="Titre9Car">
    <w:name w:val="Titre 9 Car"/>
    <w:basedOn w:val="Policepardfaut"/>
    <w:link w:val="Titre9"/>
    <w:uiPriority w:val="9"/>
    <w:rsid w:val="005B47D4"/>
    <w:rPr>
      <w:rFonts w:ascii="Century Gothic" w:hAnsi="Century Gothic" w:cs="Times New Roman"/>
      <w:i/>
      <w:iCs/>
      <w:color w:val="FF0000"/>
      <w:sz w:val="22"/>
      <w:szCs w:val="22"/>
    </w:rPr>
  </w:style>
  <w:style w:type="paragraph" w:customStyle="1" w:styleId="name-article">
    <w:name w:val="name-article"/>
    <w:basedOn w:val="Normal"/>
    <w:rsid w:val="00864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Normal"/>
    <w:rsid w:val="00864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france.gouv.fr/affichCodeArticle.do?cidTexte=LEGITEXT000006072050&amp;idArticle=LEGIARTI000028495726&amp;dateTexte=&amp;categorieLien=c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CodeArticle.do?cidTexte=LEGITEXT000006072050&amp;idArticle=LEGIARTI000028495726&amp;dateTexte=&amp;categorieLien=ci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9B7058438944B99316764CAF67EF1" ma:contentTypeVersion="17" ma:contentTypeDescription="Crée un document." ma:contentTypeScope="" ma:versionID="f09f58c3c042aa67652947b5c13c51a6">
  <xsd:schema xmlns:xsd="http://www.w3.org/2001/XMLSchema" xmlns:xs="http://www.w3.org/2001/XMLSchema" xmlns:p="http://schemas.microsoft.com/office/2006/metadata/properties" xmlns:ns2="bbe0dfdc-76ae-483b-bfe1-39bab7b2cf49" xmlns:ns3="a2a9cdf6-e8b7-420d-992e-4d1d5745f414" targetNamespace="http://schemas.microsoft.com/office/2006/metadata/properties" ma:root="true" ma:fieldsID="528b1c6444a656a08dfd492b4a17da7a" ns2:_="" ns3:_="">
    <xsd:import namespace="bbe0dfdc-76ae-483b-bfe1-39bab7b2cf49"/>
    <xsd:import namespace="a2a9cdf6-e8b7-420d-992e-4d1d5745f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dfdc-76ae-483b-bfe1-39bab7b2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cdf6-e8b7-420d-992e-4d1d5745f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c4f656-3571-4cbf-8e6c-905295136246}" ma:internalName="TaxCatchAll" ma:showField="CatchAllData" ma:web="a2a9cdf6-e8b7-420d-992e-4d1d5745f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9cdf6-e8b7-420d-992e-4d1d5745f414" xsi:nil="true"/>
    <lcf76f155ced4ddcb4097134ff3c332f xmlns="bbe0dfdc-76ae-483b-bfe1-39bab7b2c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2CF76E-D78E-49E0-9469-641BE4C16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1A89C-5702-4547-906B-F6870C0C5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dfdc-76ae-483b-bfe1-39bab7b2cf49"/>
    <ds:schemaRef ds:uri="a2a9cdf6-e8b7-420d-992e-4d1d5745f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9C425-AEA2-4D1F-8D5E-97A6181F9B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0B4539-C63B-4DBF-B9B3-66B29FA778A5}">
  <ds:schemaRefs>
    <ds:schemaRef ds:uri="http://purl.org/dc/elements/1.1/"/>
    <ds:schemaRef ds:uri="http://schemas.openxmlformats.org/package/2006/metadata/core-properties"/>
    <ds:schemaRef ds:uri="bbe0dfdc-76ae-483b-bfe1-39bab7b2cf49"/>
    <ds:schemaRef ds:uri="http://purl.org/dc/terms/"/>
    <ds:schemaRef ds:uri="http://schemas.microsoft.com/office/infopath/2007/PartnerControls"/>
    <ds:schemaRef ds:uri="a2a9cdf6-e8b7-420d-992e-4d1d5745f4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1691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GARREAU</dc:creator>
  <cp:keywords/>
  <dc:description/>
  <cp:lastModifiedBy>Jean-René LE MEUR</cp:lastModifiedBy>
  <cp:revision>23</cp:revision>
  <cp:lastPrinted>2022-12-12T07:26:00Z</cp:lastPrinted>
  <dcterms:created xsi:type="dcterms:W3CDTF">2022-12-08T12:57:00Z</dcterms:created>
  <dcterms:modified xsi:type="dcterms:W3CDTF">2023-01-10T11:00:00Z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Tue Mar 06 15:55:57 CET 2018</vt:lpwstr>
  </property>
  <property fmtid="{D5CDD505-2E9C-101B-9397-08002B2CF9AE}" pid="3" name="jforVersion">
    <vt:lpwstr>jfor V0.7.2rc1 - see http://www.jfor.org</vt:lpwstr>
  </property>
  <property fmtid="{D5CDD505-2E9C-101B-9397-08002B2CF9AE}" pid="4" name="ContentTypeId">
    <vt:lpwstr>0x0101002389B7058438944B99316764CAF67EF1</vt:lpwstr>
  </property>
  <property fmtid="{D5CDD505-2E9C-101B-9397-08002B2CF9AE}" pid="5" name="MediaServiceImageTags">
    <vt:lpwstr/>
  </property>
</Properties>
</file>