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D3F5" w14:textId="77777777" w:rsidR="006D5486" w:rsidRDefault="00000000">
      <w:pPr>
        <w:jc w:val="center"/>
        <w:rPr>
          <w:sz w:val="20"/>
        </w:rPr>
      </w:pPr>
      <w:r>
        <w:rPr>
          <w:b/>
          <w:color w:val="365F91" w:themeColor="accent1" w:themeShade="BF"/>
          <w:sz w:val="28"/>
        </w:rPr>
        <w:t>Notice d’information relative aux textes conventionnels applicables</w:t>
      </w:r>
    </w:p>
    <w:p w14:paraId="50245178" w14:textId="77777777" w:rsidR="006D5486" w:rsidRDefault="006D5486">
      <w:pPr>
        <w:spacing w:after="0"/>
        <w:jc w:val="both"/>
        <w:rPr>
          <w:sz w:val="6"/>
        </w:rPr>
      </w:pPr>
    </w:p>
    <w:p w14:paraId="1C563EFD" w14:textId="77777777" w:rsidR="006D5486" w:rsidRDefault="00000000">
      <w:pPr>
        <w:spacing w:after="0"/>
        <w:jc w:val="both"/>
        <w:rPr>
          <w:sz w:val="20"/>
        </w:rPr>
      </w:pPr>
      <w:r>
        <w:rPr>
          <w:sz w:val="20"/>
        </w:rPr>
        <w:t>Pour votre complète information, vous retrouverez dans le tableau ci-dessous la liste des conventions et accords collectifs de branche applicables dans la branche de l'enseignement privé non lucratif.</w:t>
      </w:r>
    </w:p>
    <w:p w14:paraId="2FC4A20F" w14:textId="1C1788F4" w:rsidR="006D5486" w:rsidRPr="003E55FC" w:rsidRDefault="00000000">
      <w:pPr>
        <w:jc w:val="both"/>
        <w:rPr>
          <w:sz w:val="20"/>
        </w:rPr>
      </w:pPr>
      <w:r>
        <w:rPr>
          <w:sz w:val="20"/>
        </w:rPr>
        <w:t>Vous retrouverez également dans cette liste les accords conclus au sein de notre établissement.</w:t>
      </w:r>
    </w:p>
    <w:tbl>
      <w:tblPr>
        <w:tblStyle w:val="Grilledutableau11"/>
        <w:tblW w:w="1034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04"/>
        <w:gridCol w:w="2381"/>
        <w:gridCol w:w="6663"/>
      </w:tblGrid>
      <w:tr w:rsidR="006D5486" w14:paraId="602A2DFB" w14:textId="77777777" w:rsidTr="003E55FC">
        <w:tc>
          <w:tcPr>
            <w:tcW w:w="1304" w:type="dxa"/>
            <w:tcBorders>
              <w:top w:val="nil"/>
              <w:left w:val="nil"/>
            </w:tcBorders>
            <w:shd w:val="clear" w:color="auto" w:fill="FFFFFF"/>
          </w:tcPr>
          <w:p w14:paraId="2589D671" w14:textId="77777777" w:rsidR="006D5486" w:rsidRDefault="006D5486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2381" w:type="dxa"/>
            <w:shd w:val="clear" w:color="auto" w:fill="1F497D"/>
            <w:vAlign w:val="center"/>
          </w:tcPr>
          <w:p w14:paraId="33F48159" w14:textId="77777777" w:rsidR="006D5486" w:rsidRDefault="00000000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Thématique</w:t>
            </w:r>
          </w:p>
        </w:tc>
        <w:tc>
          <w:tcPr>
            <w:tcW w:w="6663" w:type="dxa"/>
            <w:shd w:val="clear" w:color="auto" w:fill="1F497D"/>
            <w:vAlign w:val="center"/>
          </w:tcPr>
          <w:p w14:paraId="4612F412" w14:textId="77777777" w:rsidR="006D5486" w:rsidRDefault="00000000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Dénomination</w:t>
            </w:r>
          </w:p>
        </w:tc>
      </w:tr>
      <w:tr w:rsidR="006D5486" w14:paraId="1CC1E915" w14:textId="77777777" w:rsidTr="003E55FC">
        <w:tc>
          <w:tcPr>
            <w:tcW w:w="1304" w:type="dxa"/>
            <w:vMerge w:val="restart"/>
            <w:vAlign w:val="center"/>
          </w:tcPr>
          <w:p w14:paraId="4D32CF0C" w14:textId="77777777" w:rsidR="006D5486" w:rsidRDefault="00000000">
            <w:pPr>
              <w:jc w:val="center"/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Branche ou Interbranches</w:t>
            </w:r>
          </w:p>
        </w:tc>
        <w:tc>
          <w:tcPr>
            <w:tcW w:w="2381" w:type="dxa"/>
            <w:vAlign w:val="center"/>
          </w:tcPr>
          <w:p w14:paraId="313DE989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Convention collective</w:t>
            </w:r>
          </w:p>
        </w:tc>
        <w:tc>
          <w:tcPr>
            <w:tcW w:w="6663" w:type="dxa"/>
            <w:vAlign w:val="center"/>
          </w:tcPr>
          <w:p w14:paraId="2F34EF02" w14:textId="77777777" w:rsidR="006D5486" w:rsidRDefault="00000000">
            <w:pPr>
              <w:rPr>
                <w:sz w:val="18"/>
              </w:rPr>
            </w:pPr>
            <w:bookmarkStart w:id="0" w:name="_Hlk479242276"/>
            <w:r>
              <w:rPr>
                <w:sz w:val="18"/>
              </w:rPr>
              <w:t>Convention Collective de l’enseignement privé non lucratif du 11 avril 2022 - IDCC n°3218 (CCEPNL)</w:t>
            </w:r>
            <w:bookmarkEnd w:id="0"/>
          </w:p>
        </w:tc>
      </w:tr>
      <w:tr w:rsidR="006D5486" w14:paraId="06814FE7" w14:textId="77777777" w:rsidTr="003E55FC">
        <w:tc>
          <w:tcPr>
            <w:tcW w:w="1304" w:type="dxa"/>
            <w:vMerge/>
          </w:tcPr>
          <w:p w14:paraId="56179DCC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630D8CC6" w14:textId="77777777" w:rsidR="006D5486" w:rsidRDefault="00000000">
            <w:pPr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Durée du travail</w:t>
            </w:r>
          </w:p>
        </w:tc>
        <w:tc>
          <w:tcPr>
            <w:tcW w:w="6663" w:type="dxa"/>
            <w:vAlign w:val="center"/>
          </w:tcPr>
          <w:p w14:paraId="19DE76D4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de branche relatif au travail de nuit dans l’enseignement privé sous contrat du 2 juillet 2002 révisé le 31 janvier 2007</w:t>
            </w:r>
          </w:p>
        </w:tc>
      </w:tr>
      <w:tr w:rsidR="006D5486" w14:paraId="112E9519" w14:textId="77777777" w:rsidTr="003E55FC">
        <w:tc>
          <w:tcPr>
            <w:tcW w:w="1304" w:type="dxa"/>
            <w:vMerge/>
          </w:tcPr>
          <w:p w14:paraId="29E2FCD4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40A156E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11E4CA39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sz w:val="18"/>
              </w:rPr>
              <w:t>Accord sur les équivalences de nuit dans l’enseignement privé sous contrat du 31 janvier 2007</w:t>
            </w:r>
          </w:p>
        </w:tc>
      </w:tr>
      <w:tr w:rsidR="006D5486" w14:paraId="1A3B7B76" w14:textId="77777777" w:rsidTr="003E55FC">
        <w:tc>
          <w:tcPr>
            <w:tcW w:w="1304" w:type="dxa"/>
            <w:vMerge/>
          </w:tcPr>
          <w:p w14:paraId="431A8FE3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6D0ECCF5" w14:textId="77777777" w:rsidR="006D5486" w:rsidRDefault="006D5486">
            <w:pPr>
              <w:rPr>
                <w:b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BD9B682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sur le temps partiel du 18 octobre 2013 révisé le 10 mars 2015</w:t>
            </w:r>
          </w:p>
        </w:tc>
      </w:tr>
      <w:tr w:rsidR="006D5486" w14:paraId="62795FD9" w14:textId="77777777" w:rsidTr="003E55FC">
        <w:tc>
          <w:tcPr>
            <w:tcW w:w="1304" w:type="dxa"/>
            <w:vMerge/>
          </w:tcPr>
          <w:p w14:paraId="76FC166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3FF5A5D9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DE843AF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sz w:val="18"/>
              </w:rPr>
              <w:t>Accord relatif à l'organisation du temps partiel dans la branche EPNL du 11 février 2019 (en attente d'extension)</w:t>
            </w:r>
          </w:p>
        </w:tc>
      </w:tr>
      <w:tr w:rsidR="006D5486" w14:paraId="0FA2777C" w14:textId="77777777" w:rsidTr="003E55FC">
        <w:tc>
          <w:tcPr>
            <w:tcW w:w="1304" w:type="dxa"/>
            <w:vMerge/>
          </w:tcPr>
          <w:p w14:paraId="655EE86A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5070985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Formation professionnelle</w:t>
            </w:r>
          </w:p>
          <w:p w14:paraId="7A04F314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68F325E" wp14:editId="2B22C5B5">
                  <wp:extent cx="428697" cy="396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97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14:paraId="2AEE3636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interbranches sur l’emploi et le développement des compétences du 24 mars 2022</w:t>
            </w:r>
          </w:p>
        </w:tc>
      </w:tr>
      <w:tr w:rsidR="001A7E9B" w14:paraId="47D647F8" w14:textId="77777777" w:rsidTr="003E55FC">
        <w:tc>
          <w:tcPr>
            <w:tcW w:w="1304" w:type="dxa"/>
            <w:vMerge/>
          </w:tcPr>
          <w:p w14:paraId="7F9A6B98" w14:textId="77777777" w:rsidR="001A7E9B" w:rsidRDefault="001A7E9B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621E92F0" w14:textId="77777777" w:rsidR="001A7E9B" w:rsidRDefault="001A7E9B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9F7F09B" w14:textId="00DD59C3" w:rsidR="001A7E9B" w:rsidRDefault="001A7E9B">
            <w:pPr>
              <w:rPr>
                <w:sz w:val="18"/>
              </w:rPr>
            </w:pPr>
            <w:r>
              <w:rPr>
                <w:sz w:val="18"/>
              </w:rPr>
              <w:t>Accord interbranches relatif à l’abondement mutualisé au compte personnel formation du 22 juin 2022</w:t>
            </w:r>
          </w:p>
        </w:tc>
      </w:tr>
      <w:tr w:rsidR="006D5486" w14:paraId="311AE93F" w14:textId="77777777" w:rsidTr="003E55FC">
        <w:tc>
          <w:tcPr>
            <w:tcW w:w="1304" w:type="dxa"/>
            <w:vMerge/>
          </w:tcPr>
          <w:p w14:paraId="66CE768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19A733BA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3E783000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CQP éducateur de vie scolaire</w:t>
            </w:r>
          </w:p>
          <w:p w14:paraId="23D64A24" w14:textId="6D727263" w:rsidR="006D5486" w:rsidRPr="001A7E9B" w:rsidRDefault="00000000" w:rsidP="001A7E9B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de </w:t>
            </w:r>
            <w:r w:rsidR="001A7E9B">
              <w:rPr>
                <w:sz w:val="18"/>
              </w:rPr>
              <w:t>création</w:t>
            </w:r>
            <w:r w:rsidRPr="001A7E9B">
              <w:rPr>
                <w:sz w:val="18"/>
              </w:rPr>
              <w:t xml:space="preserve"> du </w:t>
            </w:r>
            <w:r w:rsidR="001A7E9B">
              <w:rPr>
                <w:sz w:val="18"/>
              </w:rPr>
              <w:t>27 mars 2025</w:t>
            </w:r>
          </w:p>
          <w:p w14:paraId="6EE70E42" w14:textId="3B6F1003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sur la classification du </w:t>
            </w:r>
            <w:r w:rsidR="001A7E9B">
              <w:rPr>
                <w:sz w:val="18"/>
              </w:rPr>
              <w:t>13 octobre 2022</w:t>
            </w:r>
          </w:p>
        </w:tc>
      </w:tr>
      <w:tr w:rsidR="006D5486" w14:paraId="2827EF09" w14:textId="77777777" w:rsidTr="003E55FC">
        <w:tc>
          <w:tcPr>
            <w:tcW w:w="1304" w:type="dxa"/>
            <w:vMerge/>
          </w:tcPr>
          <w:p w14:paraId="7072E5A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2E25593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3FF9AA90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CQP coordinateur de vie scolaire</w:t>
            </w:r>
          </w:p>
          <w:p w14:paraId="68113F10" w14:textId="5932CD1C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de création du </w:t>
            </w:r>
            <w:r w:rsidR="001A7E9B">
              <w:rPr>
                <w:sz w:val="18"/>
              </w:rPr>
              <w:t>13 octobre 2022</w:t>
            </w:r>
          </w:p>
          <w:p w14:paraId="78AD371B" w14:textId="17EA9B46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sur la classification du </w:t>
            </w:r>
            <w:r w:rsidR="001A7E9B">
              <w:rPr>
                <w:sz w:val="18"/>
              </w:rPr>
              <w:t>13 octobre 2022</w:t>
            </w:r>
          </w:p>
        </w:tc>
      </w:tr>
      <w:tr w:rsidR="003E55FC" w14:paraId="164500CF" w14:textId="77777777" w:rsidTr="003E55FC">
        <w:tc>
          <w:tcPr>
            <w:tcW w:w="1304" w:type="dxa"/>
            <w:vMerge/>
          </w:tcPr>
          <w:p w14:paraId="4598714A" w14:textId="77777777" w:rsidR="003E55FC" w:rsidRDefault="003E55FC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43F0C56" w14:textId="77777777" w:rsidR="003E55FC" w:rsidRDefault="003E55FC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056DF452" w14:textId="77777777" w:rsidR="003E55FC" w:rsidRDefault="003E55FC">
            <w:pPr>
              <w:rPr>
                <w:sz w:val="18"/>
              </w:rPr>
            </w:pPr>
            <w:r>
              <w:rPr>
                <w:sz w:val="18"/>
              </w:rPr>
              <w:t xml:space="preserve">CQP attaché de gestion </w:t>
            </w:r>
          </w:p>
          <w:p w14:paraId="6642ACF4" w14:textId="77777777" w:rsidR="003E55FC" w:rsidRPr="003E55FC" w:rsidRDefault="003E55FC" w:rsidP="003E55FC">
            <w:pPr>
              <w:pStyle w:val="Paragraphedeliste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accord de création du 13 octobre 2022</w:t>
            </w:r>
          </w:p>
          <w:p w14:paraId="01C8FAAA" w14:textId="7E62E32C" w:rsidR="003E55FC" w:rsidRPr="003E55FC" w:rsidRDefault="003E55FC" w:rsidP="003E55FC">
            <w:pPr>
              <w:pStyle w:val="Paragraphedeliste"/>
              <w:numPr>
                <w:ilvl w:val="0"/>
                <w:numId w:val="21"/>
              </w:numPr>
              <w:rPr>
                <w:sz w:val="18"/>
              </w:rPr>
            </w:pPr>
            <w:r w:rsidRPr="003E55FC">
              <w:rPr>
                <w:sz w:val="18"/>
              </w:rPr>
              <w:t>accord déterminant le niveau de classification du 8 décembre 2022</w:t>
            </w:r>
          </w:p>
        </w:tc>
      </w:tr>
      <w:tr w:rsidR="006D5486" w14:paraId="7D67DC16" w14:textId="77777777" w:rsidTr="003E55FC">
        <w:tc>
          <w:tcPr>
            <w:tcW w:w="1304" w:type="dxa"/>
            <w:vMerge/>
          </w:tcPr>
          <w:p w14:paraId="1F09F939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5CAAC81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1ECADFAB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Titre « d’expert en organisation des établissements éducatifs et scolaires et ou de formation »</w:t>
            </w:r>
          </w:p>
          <w:p w14:paraId="67F35745" w14:textId="74A790A7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déterminant le niveau de classification du </w:t>
            </w:r>
            <w:r w:rsidR="003E55FC">
              <w:rPr>
                <w:sz w:val="18"/>
              </w:rPr>
              <w:t>18 novembre 2014</w:t>
            </w:r>
          </w:p>
        </w:tc>
      </w:tr>
      <w:tr w:rsidR="006D5486" w14:paraId="4CC32EFB" w14:textId="77777777" w:rsidTr="003E55FC">
        <w:tc>
          <w:tcPr>
            <w:tcW w:w="1304" w:type="dxa"/>
            <w:vMerge/>
          </w:tcPr>
          <w:p w14:paraId="1473390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235F4691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 xml:space="preserve">Protection sociale </w:t>
            </w:r>
          </w:p>
          <w:p w14:paraId="1922E2AC" w14:textId="77777777" w:rsidR="006D5486" w:rsidRDefault="00000000">
            <w:pPr>
              <w:ind w:left="-108"/>
              <w:rPr>
                <w:b/>
                <w:color w:val="1F497D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3EFA0FE" wp14:editId="0C92183E">
                  <wp:extent cx="1485000" cy="396000"/>
                  <wp:effectExtent l="0" t="0" r="127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14:paraId="6A5EAA96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au régime frais de santé dénommé EEP Santé du 31 janvier 2022</w:t>
            </w:r>
          </w:p>
        </w:tc>
      </w:tr>
      <w:tr w:rsidR="006D5486" w14:paraId="3B70453C" w14:textId="77777777" w:rsidTr="003E55FC">
        <w:tc>
          <w:tcPr>
            <w:tcW w:w="1304" w:type="dxa"/>
            <w:vMerge/>
          </w:tcPr>
          <w:p w14:paraId="76EE4200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2D66ECA4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091261E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à la recommandation d'organismes assureurs du 31 janvier 2022</w:t>
            </w:r>
          </w:p>
        </w:tc>
      </w:tr>
      <w:tr w:rsidR="006D5486" w14:paraId="3E50612E" w14:textId="77777777" w:rsidTr="003E55FC">
        <w:tc>
          <w:tcPr>
            <w:tcW w:w="1304" w:type="dxa"/>
            <w:vMerge/>
          </w:tcPr>
          <w:p w14:paraId="5D1CDDB2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3771D9C5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25BC27D2" w14:textId="5E994950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Accord collectif relatif au régime de prévoyance des personnels </w:t>
            </w:r>
            <w:proofErr w:type="gramStart"/>
            <w:r>
              <w:rPr>
                <w:sz w:val="18"/>
              </w:rPr>
              <w:t>non cadres</w:t>
            </w:r>
            <w:proofErr w:type="gramEnd"/>
            <w:r>
              <w:rPr>
                <w:sz w:val="18"/>
              </w:rPr>
              <w:t xml:space="preserve"> rémunérés par les établissements d'enseignement privé sous contrat</w:t>
            </w:r>
            <w:r w:rsidR="003E55FC">
              <w:rPr>
                <w:sz w:val="18"/>
              </w:rPr>
              <w:t xml:space="preserve"> du 2 octobre 2013</w:t>
            </w:r>
          </w:p>
        </w:tc>
      </w:tr>
      <w:tr w:rsidR="006D5486" w14:paraId="06A8F102" w14:textId="77777777" w:rsidTr="003E55FC">
        <w:tc>
          <w:tcPr>
            <w:tcW w:w="1304" w:type="dxa"/>
            <w:vMerge/>
          </w:tcPr>
          <w:p w14:paraId="2CACFCE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36EDF92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D4FA7D9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au régime de prévoyance des personnels cadres et assimilés rémunérés par les établissements d'enseignement privé sous contrat</w:t>
            </w:r>
            <w:r w:rsidR="003E55FC">
              <w:rPr>
                <w:sz w:val="18"/>
              </w:rPr>
              <w:t xml:space="preserve"> du 2 octobre 2013</w:t>
            </w:r>
            <w:r w:rsidR="003E55FC">
              <w:rPr>
                <w:sz w:val="18"/>
              </w:rPr>
              <w:br/>
            </w:r>
            <w:r w:rsidR="003E55FC" w:rsidRPr="003E55FC">
              <w:rPr>
                <w:sz w:val="18"/>
              </w:rPr>
              <w:t>Avenant du 19 septembre 2024 relatif au régime EEP Prévoyance des personnels cadres</w:t>
            </w:r>
          </w:p>
          <w:p w14:paraId="4F83999D" w14:textId="3B8E80AB" w:rsidR="003E55FC" w:rsidRDefault="003E55FC">
            <w:pPr>
              <w:rPr>
                <w:sz w:val="18"/>
              </w:rPr>
            </w:pPr>
            <w:r w:rsidRPr="003E55FC">
              <w:rPr>
                <w:sz w:val="18"/>
              </w:rPr>
              <w:t>Avenant du 14 novembre 2024 relatif aux catégories de bénéficiaires du régime EEP prévoyance cadres du 14 novembre 2024</w:t>
            </w:r>
          </w:p>
        </w:tc>
      </w:tr>
      <w:tr w:rsidR="006D5486" w14:paraId="085B7B98" w14:textId="77777777" w:rsidTr="003E55FC">
        <w:tc>
          <w:tcPr>
            <w:tcW w:w="1304" w:type="dxa"/>
            <w:vMerge w:val="restart"/>
            <w:vAlign w:val="center"/>
          </w:tcPr>
          <w:p w14:paraId="1A328C75" w14:textId="77777777" w:rsidR="006D5486" w:rsidRDefault="00000000">
            <w:pPr>
              <w:jc w:val="center"/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Accords d’entreprise</w:t>
            </w:r>
          </w:p>
        </w:tc>
        <w:tc>
          <w:tcPr>
            <w:tcW w:w="2381" w:type="dxa"/>
            <w:vAlign w:val="center"/>
          </w:tcPr>
          <w:p w14:paraId="204316DC" w14:textId="77777777" w:rsidR="006D5486" w:rsidRDefault="006D5486">
            <w:pPr>
              <w:rPr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8D0ABCC" w14:textId="77777777" w:rsidR="006D5486" w:rsidRDefault="006D5486">
            <w:pPr>
              <w:rPr>
                <w:b/>
                <w:sz w:val="18"/>
              </w:rPr>
            </w:pPr>
          </w:p>
        </w:tc>
      </w:tr>
      <w:tr w:rsidR="006D5486" w14:paraId="190C0D71" w14:textId="77777777" w:rsidTr="003E55FC">
        <w:tc>
          <w:tcPr>
            <w:tcW w:w="1304" w:type="dxa"/>
            <w:vMerge/>
          </w:tcPr>
          <w:p w14:paraId="38A11876" w14:textId="77777777" w:rsidR="006D5486" w:rsidRDefault="006D5486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381" w:type="dxa"/>
            <w:vAlign w:val="center"/>
          </w:tcPr>
          <w:p w14:paraId="17344115" w14:textId="77777777" w:rsidR="006D5486" w:rsidRDefault="006D5486">
            <w:pPr>
              <w:rPr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AB190C7" w14:textId="77777777" w:rsidR="006D5486" w:rsidRDefault="006D5486">
            <w:pPr>
              <w:rPr>
                <w:b/>
                <w:sz w:val="18"/>
              </w:rPr>
            </w:pPr>
          </w:p>
        </w:tc>
      </w:tr>
    </w:tbl>
    <w:p w14:paraId="7E6C7825" w14:textId="77777777" w:rsidR="006D5486" w:rsidRDefault="006D5486">
      <w:pPr>
        <w:spacing w:after="0"/>
        <w:jc w:val="both"/>
        <w:rPr>
          <w:b/>
          <w:sz w:val="32"/>
        </w:rPr>
      </w:pPr>
    </w:p>
    <w:p w14:paraId="224A2A51" w14:textId="12AD1D02" w:rsidR="006D5486" w:rsidRDefault="00000000">
      <w:pPr>
        <w:spacing w:after="0"/>
        <w:jc w:val="both"/>
        <w:rPr>
          <w:b/>
          <w:sz w:val="18"/>
        </w:rPr>
      </w:pPr>
      <w:r>
        <w:rPr>
          <w:b/>
          <w:sz w:val="18"/>
        </w:rPr>
        <w:t xml:space="preserve">Vous pouvez consulter ces accords </w:t>
      </w:r>
      <w:r w:rsidR="001A7E9B" w:rsidRPr="001A7E9B">
        <w:rPr>
          <w:b/>
          <w:bCs/>
          <w:i/>
          <w:sz w:val="18"/>
        </w:rPr>
        <w:t>en ligne</w:t>
      </w:r>
      <w:r w:rsidRPr="001A7E9B">
        <w:rPr>
          <w:b/>
          <w:i/>
          <w:sz w:val="18"/>
        </w:rPr>
        <w:t> </w:t>
      </w:r>
      <w:r>
        <w:rPr>
          <w:b/>
          <w:i/>
          <w:color w:val="1F497D" w:themeColor="dark2"/>
          <w:sz w:val="18"/>
        </w:rPr>
        <w:t>:</w:t>
      </w:r>
      <w:r w:rsidR="001A7E9B">
        <w:rPr>
          <w:b/>
          <w:i/>
          <w:color w:val="1F497D" w:themeColor="dark2"/>
          <w:sz w:val="18"/>
        </w:rPr>
        <w:t xml:space="preserve"> </w:t>
      </w:r>
      <w:hyperlink r:id="rId9" w:history="1">
        <w:r w:rsidR="001A7E9B" w:rsidRPr="001A7E9B">
          <w:rPr>
            <w:rStyle w:val="Lienhypertexte"/>
            <w:b/>
            <w:i/>
            <w:sz w:val="18"/>
          </w:rPr>
          <w:t>Notice d’information relative aux textes conventionnels applicables – Isidoor</w:t>
        </w:r>
      </w:hyperlink>
    </w:p>
    <w:p w14:paraId="25F12AB2" w14:textId="77777777" w:rsidR="006D5486" w:rsidRDefault="006D5486">
      <w:pPr>
        <w:spacing w:after="0"/>
        <w:jc w:val="both"/>
        <w:rPr>
          <w:b/>
          <w:sz w:val="18"/>
        </w:rPr>
      </w:pPr>
    </w:p>
    <w:p w14:paraId="003DAB40" w14:textId="77777777" w:rsidR="006D5486" w:rsidRDefault="006D5486">
      <w:pPr>
        <w:spacing w:after="0"/>
        <w:jc w:val="both"/>
        <w:rPr>
          <w:i/>
          <w:color w:val="1F497D" w:themeColor="dark2"/>
          <w:sz w:val="18"/>
        </w:rPr>
      </w:pPr>
    </w:p>
    <w:p w14:paraId="58DF636E" w14:textId="77777777" w:rsidR="006D5486" w:rsidRDefault="006D5486">
      <w:pPr>
        <w:spacing w:after="0"/>
        <w:jc w:val="both"/>
        <w:rPr>
          <w:i/>
          <w:color w:val="1F497D" w:themeColor="dark2"/>
          <w:sz w:val="18"/>
        </w:rPr>
      </w:pPr>
    </w:p>
    <w:p w14:paraId="0CF6611C" w14:textId="77777777" w:rsidR="006D5486" w:rsidRDefault="006D5486">
      <w:pPr>
        <w:spacing w:after="0"/>
        <w:jc w:val="both"/>
        <w:rPr>
          <w:i/>
          <w:color w:val="1F497D" w:themeColor="dark2"/>
          <w:sz w:val="18"/>
        </w:rPr>
      </w:pPr>
    </w:p>
    <w:p w14:paraId="62F8317B" w14:textId="77777777" w:rsidR="006D5486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light1"/>
        <w:spacing w:after="0" w:line="164" w:lineRule="atLeast"/>
        <w:jc w:val="both"/>
        <w:rPr>
          <w:sz w:val="18"/>
        </w:rPr>
      </w:pPr>
      <w:r>
        <w:rPr>
          <w:sz w:val="18"/>
        </w:rPr>
        <w:t xml:space="preserve">A noter que cette « notice » doit être remise à chaque salarié lors de l’embauche, en application de la section 1 du chapitre 3 de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de la convention collective de l’enseignement privé non lucratif IDCC n°3218 (CCEPNL).</w:t>
      </w:r>
    </w:p>
    <w:sectPr w:rsidR="006D5486" w:rsidSect="003E55FC">
      <w:headerReference w:type="even" r:id="rId10"/>
      <w:headerReference w:type="default" r:id="rId11"/>
      <w:headerReference w:type="first" r:id="rId12"/>
      <w:pgSz w:w="11906" w:h="16838"/>
      <w:pgMar w:top="1134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6AB7" w14:textId="77777777" w:rsidR="008865CF" w:rsidRDefault="008865CF">
      <w:pPr>
        <w:spacing w:after="0" w:line="240" w:lineRule="auto"/>
      </w:pPr>
      <w:r>
        <w:separator/>
      </w:r>
    </w:p>
  </w:endnote>
  <w:endnote w:type="continuationSeparator" w:id="0">
    <w:p w14:paraId="12A4C387" w14:textId="77777777" w:rsidR="008865CF" w:rsidRDefault="0088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AB02" w14:textId="77777777" w:rsidR="008865CF" w:rsidRDefault="008865CF">
      <w:pPr>
        <w:spacing w:after="0" w:line="240" w:lineRule="auto"/>
      </w:pPr>
      <w:r>
        <w:separator/>
      </w:r>
    </w:p>
  </w:footnote>
  <w:footnote w:type="continuationSeparator" w:id="0">
    <w:p w14:paraId="7CF5E7D6" w14:textId="77777777" w:rsidR="008865CF" w:rsidRDefault="0088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C2E8" w14:textId="77777777" w:rsidR="006D5486" w:rsidRDefault="006D54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1927" w14:textId="77777777" w:rsidR="006D5486" w:rsidRDefault="006D54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2C30" w14:textId="77777777" w:rsidR="006D5486" w:rsidRDefault="006D54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9E721542"/>
    <w:lvl w:ilvl="0">
      <w:start w:val="1"/>
      <w:numFmt w:val="decimal"/>
      <w:pStyle w:val="Tir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55C57E3"/>
    <w:multiLevelType w:val="multilevel"/>
    <w:tmpl w:val="54EE7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8FF4790"/>
    <w:multiLevelType w:val="multilevel"/>
    <w:tmpl w:val="73CCB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DED754D"/>
    <w:multiLevelType w:val="multilevel"/>
    <w:tmpl w:val="B97E9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FD31DAB"/>
    <w:multiLevelType w:val="multilevel"/>
    <w:tmpl w:val="382E8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60A0DCE"/>
    <w:multiLevelType w:val="multilevel"/>
    <w:tmpl w:val="2118F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6EF52D7"/>
    <w:multiLevelType w:val="multilevel"/>
    <w:tmpl w:val="C0A04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81B15E3"/>
    <w:multiLevelType w:val="hybridMultilevel"/>
    <w:tmpl w:val="6B12F1DA"/>
    <w:lvl w:ilvl="0" w:tplc="5A3E80B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A1299"/>
    <w:multiLevelType w:val="multilevel"/>
    <w:tmpl w:val="E3084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F3D5843"/>
    <w:multiLevelType w:val="multilevel"/>
    <w:tmpl w:val="40AC7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46F0914"/>
    <w:multiLevelType w:val="hybridMultilevel"/>
    <w:tmpl w:val="41B057D0"/>
    <w:lvl w:ilvl="0" w:tplc="5A3E80B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0B7"/>
    <w:multiLevelType w:val="hybridMultilevel"/>
    <w:tmpl w:val="40FA165E"/>
    <w:lvl w:ilvl="0" w:tplc="B6EE69F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43F75"/>
    <w:multiLevelType w:val="hybridMultilevel"/>
    <w:tmpl w:val="59685C10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F96F03"/>
    <w:multiLevelType w:val="multilevel"/>
    <w:tmpl w:val="95102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5AF49B6"/>
    <w:multiLevelType w:val="multilevel"/>
    <w:tmpl w:val="3D56A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69291F7D"/>
    <w:multiLevelType w:val="multilevel"/>
    <w:tmpl w:val="F3D4B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EBA2B13"/>
    <w:multiLevelType w:val="multilevel"/>
    <w:tmpl w:val="41105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07F065B"/>
    <w:multiLevelType w:val="multilevel"/>
    <w:tmpl w:val="B7B05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15F13D5"/>
    <w:multiLevelType w:val="multilevel"/>
    <w:tmpl w:val="723E3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6DD5AEC"/>
    <w:multiLevelType w:val="multilevel"/>
    <w:tmpl w:val="8CCE4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D9A4A87"/>
    <w:multiLevelType w:val="hybridMultilevel"/>
    <w:tmpl w:val="EC4E2682"/>
    <w:lvl w:ilvl="0" w:tplc="DB18E89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A5D54"/>
    <w:multiLevelType w:val="multilevel"/>
    <w:tmpl w:val="9162D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06143211">
    <w:abstractNumId w:val="2"/>
  </w:num>
  <w:num w:numId="2" w16cid:durableId="350961756">
    <w:abstractNumId w:val="17"/>
  </w:num>
  <w:num w:numId="3" w16cid:durableId="1172253972">
    <w:abstractNumId w:val="21"/>
  </w:num>
  <w:num w:numId="4" w16cid:durableId="1995375385">
    <w:abstractNumId w:val="4"/>
  </w:num>
  <w:num w:numId="5" w16cid:durableId="1123504112">
    <w:abstractNumId w:val="8"/>
  </w:num>
  <w:num w:numId="6" w16cid:durableId="1492134464">
    <w:abstractNumId w:val="3"/>
  </w:num>
  <w:num w:numId="7" w16cid:durableId="1015575949">
    <w:abstractNumId w:val="5"/>
  </w:num>
  <w:num w:numId="8" w16cid:durableId="1084914228">
    <w:abstractNumId w:val="19"/>
  </w:num>
  <w:num w:numId="9" w16cid:durableId="1940330631">
    <w:abstractNumId w:val="18"/>
  </w:num>
  <w:num w:numId="10" w16cid:durableId="1316956973">
    <w:abstractNumId w:val="13"/>
  </w:num>
  <w:num w:numId="11" w16cid:durableId="154955458">
    <w:abstractNumId w:val="9"/>
  </w:num>
  <w:num w:numId="12" w16cid:durableId="227696235">
    <w:abstractNumId w:val="14"/>
  </w:num>
  <w:num w:numId="13" w16cid:durableId="2002078007">
    <w:abstractNumId w:val="15"/>
  </w:num>
  <w:num w:numId="14" w16cid:durableId="1971127315">
    <w:abstractNumId w:val="6"/>
  </w:num>
  <w:num w:numId="15" w16cid:durableId="262803906">
    <w:abstractNumId w:val="0"/>
  </w:num>
  <w:num w:numId="16" w16cid:durableId="135149261">
    <w:abstractNumId w:val="16"/>
  </w:num>
  <w:num w:numId="17" w16cid:durableId="454252988">
    <w:abstractNumId w:val="20"/>
  </w:num>
  <w:num w:numId="18" w16cid:durableId="1260600109">
    <w:abstractNumId w:val="11"/>
  </w:num>
  <w:num w:numId="19" w16cid:durableId="313412265">
    <w:abstractNumId w:val="7"/>
  </w:num>
  <w:num w:numId="20" w16cid:durableId="1332490128">
    <w:abstractNumId w:val="10"/>
  </w:num>
  <w:num w:numId="21" w16cid:durableId="1549993103">
    <w:abstractNumId w:val="12"/>
  </w:num>
  <w:num w:numId="22" w16cid:durableId="113502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86"/>
    <w:rsid w:val="001A7E9B"/>
    <w:rsid w:val="002611E2"/>
    <w:rsid w:val="003E55FC"/>
    <w:rsid w:val="006D5486"/>
    <w:rsid w:val="008865CF"/>
    <w:rsid w:val="00AB0E29"/>
    <w:rsid w:val="00B81A16"/>
    <w:rsid w:val="00F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C2C"/>
  <w15:docId w15:val="{88634E02-FEDA-4C0C-BDAA-36DA64C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FC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color w:val="365F91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color w:val="365F91" w:themeColor="accent1" w:themeShade="BF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tedebasdepage">
    <w:name w:val="footnote text"/>
    <w:link w:val="NotedebasdepageCar1"/>
    <w:semiHidden/>
    <w:pPr>
      <w:spacing w:after="0" w:line="240" w:lineRule="auto"/>
    </w:pPr>
    <w:rPr>
      <w:sz w:val="20"/>
    </w:rPr>
  </w:style>
  <w:style w:type="paragraph" w:styleId="Textedebulles">
    <w:name w:val="Balloon Text"/>
    <w:basedOn w:val="Normal"/>
    <w:link w:val="TextedebullesCar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</w:rPr>
  </w:style>
  <w:style w:type="paragraph" w:customStyle="1" w:styleId="Notabene">
    <w:name w:val="Nota bene"/>
    <w:basedOn w:val="Normal"/>
    <w:pPr>
      <w:tabs>
        <w:tab w:val="left" w:pos="1418"/>
      </w:tabs>
      <w:spacing w:after="0" w:line="320" w:lineRule="exact"/>
      <w:ind w:left="1418" w:hanging="567"/>
      <w:jc w:val="both"/>
    </w:pPr>
    <w:rPr>
      <w:rFonts w:ascii="Times New Roman" w:hAnsi="Times New Roman"/>
      <w:i/>
      <w:color w:val="000080"/>
      <w:sz w:val="20"/>
    </w:rPr>
  </w:style>
  <w:style w:type="paragraph" w:customStyle="1" w:styleId="Tiret">
    <w:name w:val="Tiret"/>
    <w:basedOn w:val="Normal"/>
    <w:link w:val="TiretCar"/>
    <w:pPr>
      <w:numPr>
        <w:numId w:val="15"/>
      </w:numPr>
      <w:tabs>
        <w:tab w:val="left" w:pos="227"/>
      </w:tabs>
      <w:spacing w:after="0" w:line="320" w:lineRule="exact"/>
      <w:ind w:left="1078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pPr>
      <w:ind w:left="720"/>
      <w:contextualSpacing/>
    </w:pPr>
    <w:rPr>
      <w:lang w:eastAsia="en-US"/>
    </w:rPr>
  </w:style>
  <w:style w:type="paragraph" w:styleId="Sansinterligne">
    <w:name w:val="No Spacing"/>
    <w:pPr>
      <w:spacing w:after="0" w:line="240" w:lineRule="auto"/>
    </w:pPr>
  </w:style>
  <w:style w:type="paragraph" w:styleId="En-ttedetabledesmatires">
    <w:name w:val="TOC Heading"/>
    <w:basedOn w:val="Titre1"/>
    <w:next w:val="Normal"/>
    <w:pPr>
      <w:spacing w:line="259" w:lineRule="auto"/>
      <w:outlineLvl w:val="9"/>
    </w:p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styleId="Corpsdetexte">
    <w:name w:val="Body Text"/>
    <w:basedOn w:val="Normal"/>
    <w:link w:val="CorpsdetexteCar"/>
    <w:semiHidden/>
    <w:pPr>
      <w:spacing w:after="120" w:line="240" w:lineRule="auto"/>
    </w:pPr>
    <w:rPr>
      <w:rFonts w:ascii="Times New Roman" w:hAnsi="Times New Roman"/>
      <w:sz w:val="24"/>
    </w:rPr>
  </w:style>
  <w:style w:type="paragraph" w:styleId="Corpsdetexte3">
    <w:name w:val="Body Text 3"/>
    <w:basedOn w:val="Normal"/>
    <w:link w:val="Corpsdetexte3Car"/>
    <w:semiHidden/>
    <w:pPr>
      <w:spacing w:after="120" w:line="240" w:lineRule="auto"/>
    </w:pPr>
    <w:rPr>
      <w:rFonts w:ascii="Times New Roman" w:hAnsi="Times New Roman"/>
      <w:sz w:val="16"/>
    </w:rPr>
  </w:style>
  <w:style w:type="paragraph" w:styleId="Notedefin">
    <w:name w:val="endnote text"/>
    <w:link w:val="NotedefinCar"/>
    <w:semiHidden/>
    <w:pPr>
      <w:spacing w:after="0" w:line="240" w:lineRule="auto"/>
    </w:pPr>
    <w:rPr>
      <w:sz w:val="20"/>
    </w:rPr>
  </w:style>
  <w:style w:type="character" w:styleId="Numrodeligne">
    <w:name w:val="line number"/>
    <w:basedOn w:val="Policepardfaut"/>
    <w:semiHidden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NotedebasdepageCar">
    <w:name w:val="Note de bas de page Car"/>
    <w:basedOn w:val="Policepardfaut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/>
      <w:smallCaps w:val="0"/>
      <w:snapToGrid/>
      <w:spacing w:val="0"/>
      <w:w w:val="100"/>
      <w:position w:val="0"/>
      <w:sz w:val="16"/>
      <w:szCs w:val="22"/>
      <w:cs w:val="0"/>
    </w:rPr>
  </w:style>
  <w:style w:type="character" w:customStyle="1" w:styleId="TiretCar">
    <w:name w:val="Tiret Car"/>
    <w:basedOn w:val="Policepardfaut"/>
    <w:link w:val="Tiret"/>
    <w:rPr>
      <w:rFonts w:ascii="Times New Roman" w:hAnsi="Times New Roman"/>
      <w:smallCaps w:val="0"/>
      <w:snapToGrid/>
      <w:spacing w:val="0"/>
      <w:w w:val="100"/>
      <w:position w:val="0"/>
      <w:sz w:val="24"/>
      <w:szCs w:val="22"/>
      <w:cs w:val="0"/>
    </w:rPr>
  </w:style>
  <w:style w:type="character" w:customStyle="1" w:styleId="Titre3Car">
    <w:name w:val="Titre 3 Car"/>
    <w:basedOn w:val="Policepardfaut"/>
    <w:link w:val="Titre3"/>
    <w:rPr>
      <w:b/>
      <w:bCs w:val="0"/>
      <w:color w:val="4F81BD" w:themeColor="accent1"/>
    </w:rPr>
  </w:style>
  <w:style w:type="character" w:customStyle="1" w:styleId="En-tteCar">
    <w:name w:val="En-tête Car"/>
    <w:basedOn w:val="Policepardfaut"/>
    <w:link w:val="En-tte"/>
  </w:style>
  <w:style w:type="character" w:customStyle="1" w:styleId="PieddepageCar">
    <w:name w:val="Pied de page Car"/>
    <w:basedOn w:val="Policepardfaut"/>
    <w:link w:val="Pieddepage"/>
  </w:style>
  <w:style w:type="character" w:customStyle="1" w:styleId="Titre1Car">
    <w:name w:val="Titre 1 Car"/>
    <w:basedOn w:val="Policepardfaut"/>
    <w:link w:val="Titre1"/>
    <w:rPr>
      <w:smallCaps w:val="0"/>
      <w:snapToGrid/>
      <w:color w:val="365F91" w:themeColor="accent1" w:themeShade="BF"/>
      <w:spacing w:val="0"/>
      <w:w w:val="100"/>
      <w:position w:val="0"/>
      <w:sz w:val="32"/>
      <w:szCs w:val="22"/>
      <w:cs w:val="0"/>
    </w:rPr>
  </w:style>
  <w:style w:type="character" w:customStyle="1" w:styleId="Titre2Car">
    <w:name w:val="Titre 2 Car"/>
    <w:basedOn w:val="Policepardfaut"/>
    <w:link w:val="Titre2"/>
    <w:rPr>
      <w:smallCaps w:val="0"/>
      <w:snapToGrid/>
      <w:color w:val="365F91" w:themeColor="accent1" w:themeShade="BF"/>
      <w:spacing w:val="0"/>
      <w:w w:val="100"/>
      <w:position w:val="0"/>
      <w:sz w:val="26"/>
      <w:szCs w:val="22"/>
      <w:cs w:val="0"/>
    </w:rPr>
  </w:style>
  <w:style w:type="character" w:customStyle="1" w:styleId="CorpsdetexteCar">
    <w:name w:val="Corps de texte Car"/>
    <w:basedOn w:val="Policepardfaut"/>
    <w:link w:val="Corpsdetexte"/>
    <w:semiHidden/>
    <w:rPr>
      <w:rFonts w:ascii="Times New Roman" w:hAnsi="Times New Roman"/>
      <w:smallCaps w:val="0"/>
      <w:snapToGrid/>
      <w:spacing w:val="0"/>
      <w:w w:val="100"/>
      <w:position w:val="0"/>
      <w:sz w:val="24"/>
      <w:szCs w:val="22"/>
      <w:cs w:val="0"/>
    </w:rPr>
  </w:style>
  <w:style w:type="character" w:customStyle="1" w:styleId="Corpsdetexte3Car">
    <w:name w:val="Corps de texte 3 Car"/>
    <w:basedOn w:val="Policepardfaut"/>
    <w:link w:val="Corpsdetexte3"/>
    <w:semiHidden/>
    <w:rPr>
      <w:rFonts w:ascii="Times New Roman" w:hAnsi="Times New Roman"/>
      <w:smallCaps w:val="0"/>
      <w:snapToGrid/>
      <w:spacing w:val="0"/>
      <w:w w:val="100"/>
      <w:position w:val="0"/>
      <w:sz w:val="16"/>
      <w:szCs w:val="22"/>
      <w:cs w:val="0"/>
    </w:rPr>
  </w:style>
  <w:style w:type="character" w:styleId="lev">
    <w:name w:val="Strong"/>
    <w:basedOn w:val="Policepardfaut"/>
    <w:rPr>
      <w:b/>
      <w:bCs w:val="0"/>
    </w:rPr>
  </w:style>
  <w:style w:type="character" w:styleId="Mention">
    <w:name w:val="Mention"/>
    <w:basedOn w:val="Policepardfaut"/>
    <w:semiHidden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semiHidden/>
    <w:rPr>
      <w:color w:val="800080" w:themeColor="followedHyperlink"/>
      <w:u w:val="single"/>
    </w:rPr>
  </w:style>
  <w:style w:type="character" w:customStyle="1" w:styleId="NotedebasdepageCar1">
    <w:name w:val="Note de bas de page Car1"/>
    <w:link w:val="Notedebasdepage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NotedefinCar">
    <w:name w:val="Note de fin Car"/>
    <w:link w:val="Notedefin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table" w:styleId="Tableausimple1">
    <w:name w:val="Table Simple 1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1">
    <w:name w:val="Grille du tableau1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2">
    <w:name w:val="Grille du tableau2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3">
    <w:name w:val="Grille du tableau3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11">
    <w:name w:val="Grille du tableau11"/>
    <w:basedOn w:val="TableauNormal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A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s.isidoor.org/kb/notice-dinformation-relative-aux-textes-conventionnels-applicab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Durand</dc:creator>
  <cp:lastModifiedBy>Aude Durand</cp:lastModifiedBy>
  <cp:revision>2</cp:revision>
  <dcterms:created xsi:type="dcterms:W3CDTF">2025-11-04T10:50:00Z</dcterms:created>
  <dcterms:modified xsi:type="dcterms:W3CDTF">2025-11-04T10:50:00Z</dcterms:modified>
</cp:coreProperties>
</file>