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B95E6" w14:textId="77777777" w:rsidR="00BC3248" w:rsidRDefault="00BC3248"/>
    <w:tbl>
      <w:tblPr>
        <w:tblW w:w="9026" w:type="dxa"/>
        <w:tblBorders>
          <w:top w:val="single" w:sz="6" w:space="0" w:color="888888"/>
          <w:left w:val="single" w:sz="6" w:space="0" w:color="888888"/>
          <w:bottom w:val="single" w:sz="6" w:space="0" w:color="888888"/>
          <w:right w:val="single" w:sz="6" w:space="0" w:color="888888"/>
          <w:insideH w:val="single" w:sz="6" w:space="0" w:color="888888"/>
          <w:insideV w:val="single" w:sz="6" w:space="0" w:color="888888"/>
        </w:tblBorders>
        <w:tblCellMar>
          <w:left w:w="10" w:type="dxa"/>
          <w:right w:w="10" w:type="dxa"/>
        </w:tblCellMar>
        <w:tblLook w:val="04A0" w:firstRow="1" w:lastRow="0" w:firstColumn="1" w:lastColumn="0" w:noHBand="0" w:noVBand="1"/>
      </w:tblPr>
      <w:tblGrid>
        <w:gridCol w:w="9026"/>
      </w:tblGrid>
      <w:tr w:rsidR="0008635F" w14:paraId="1299B40E" w14:textId="77777777">
        <w:tblPrEx>
          <w:tblCellMar>
            <w:top w:w="0" w:type="dxa"/>
            <w:bottom w:w="0" w:type="dxa"/>
          </w:tblCellMar>
        </w:tblPrEx>
        <w:tc>
          <w:tcPr>
            <w:tcW w:w="9026" w:type="dxa"/>
            <w:shd w:val="clear" w:color="auto" w:fill="F2F2F2"/>
            <w:tcMar>
              <w:top w:w="120" w:type="dxa"/>
              <w:left w:w="160" w:type="dxa"/>
              <w:bottom w:w="120" w:type="dxa"/>
              <w:right w:w="160" w:type="dxa"/>
            </w:tcMar>
          </w:tcPr>
          <w:p w14:paraId="33928F2B" w14:textId="77777777" w:rsidR="0008635F" w:rsidRDefault="00000000">
            <w:pPr>
              <w:spacing w:after="100" w:line="250" w:lineRule="auto"/>
              <w:jc w:val="both"/>
            </w:pPr>
            <w:r>
              <w:rPr>
                <w:b/>
                <w:bCs/>
                <w:sz w:val="19"/>
                <w:szCs w:val="19"/>
              </w:rPr>
              <w:t>Note à l’attention de l’</w:t>
            </w:r>
            <w:proofErr w:type="spellStart"/>
            <w:r>
              <w:rPr>
                <w:b/>
                <w:bCs/>
                <w:sz w:val="19"/>
                <w:szCs w:val="19"/>
              </w:rPr>
              <w:t>Ogec</w:t>
            </w:r>
            <w:proofErr w:type="spellEnd"/>
            <w:r>
              <w:rPr>
                <w:b/>
                <w:bCs/>
                <w:sz w:val="19"/>
                <w:szCs w:val="19"/>
              </w:rPr>
              <w:t xml:space="preserve"> — à supprimer avant envoi</w:t>
            </w:r>
          </w:p>
          <w:p w14:paraId="188B2CC8" w14:textId="77777777" w:rsidR="0008635F" w:rsidRDefault="00000000">
            <w:pPr>
              <w:spacing w:after="100" w:line="250" w:lineRule="auto"/>
              <w:jc w:val="both"/>
            </w:pPr>
            <w:r>
              <w:rPr>
                <w:sz w:val="19"/>
                <w:szCs w:val="19"/>
              </w:rPr>
              <w:t>Version révisée de septembre 2026. N’utilisez cette trame que si votre Urssaf ne vous a pas encore confirmé par écrit votre non-redevabilité. Si vous avez reçu un tel courrier, aucune saisine n’est nécessaire : utilisez la trame « Demande de régularisation et de remboursement ».</w:t>
            </w:r>
          </w:p>
          <w:p w14:paraId="2E41A510" w14:textId="77777777" w:rsidR="0008635F" w:rsidRDefault="00000000">
            <w:pPr>
              <w:spacing w:after="100" w:line="250" w:lineRule="auto"/>
              <w:jc w:val="both"/>
            </w:pPr>
            <w:r>
              <w:rPr>
                <w:sz w:val="19"/>
                <w:szCs w:val="19"/>
              </w:rPr>
              <w:t>Délai impératif : la commission de recours amiable doit être saisie dans les deux mois de la notification de la décision contestée (article R. 142-1 du code de la sécurité sociale). Saisissez-la même si un échange informel est en cours avec votre caisse : seule la saisine interrompt le délai.</w:t>
            </w:r>
          </w:p>
          <w:p w14:paraId="27661754" w14:textId="77777777" w:rsidR="0008635F" w:rsidRDefault="00000000">
            <w:pPr>
              <w:spacing w:line="250" w:lineRule="auto"/>
              <w:jc w:val="both"/>
            </w:pPr>
            <w:r>
              <w:rPr>
                <w:sz w:val="19"/>
                <w:szCs w:val="19"/>
              </w:rPr>
              <w:t>Les passages entre crochets sont à compléter ou à choisir. Les mentions en italique sont des citations à reproduire telles quelles.</w:t>
            </w:r>
          </w:p>
        </w:tc>
      </w:tr>
    </w:tbl>
    <w:p w14:paraId="2D9D3BF4" w14:textId="77777777" w:rsidR="0008635F" w:rsidRDefault="0008635F">
      <w:pPr>
        <w:spacing w:after="240"/>
      </w:pP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513"/>
        <w:gridCol w:w="4513"/>
      </w:tblGrid>
      <w:tr w:rsidR="0008635F" w14:paraId="5EC13436" w14:textId="77777777">
        <w:tblPrEx>
          <w:tblCellMar>
            <w:top w:w="0" w:type="dxa"/>
            <w:bottom w:w="0" w:type="dxa"/>
          </w:tblCellMar>
        </w:tblPrEx>
        <w:tc>
          <w:tcPr>
            <w:tcW w:w="42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0411C255" w14:textId="77777777" w:rsidR="0008635F" w:rsidRDefault="00000000">
            <w:pPr>
              <w:spacing w:after="40"/>
            </w:pPr>
            <w:r>
              <w:t>[En-tête : logo / dénomination de l’</w:t>
            </w:r>
            <w:proofErr w:type="spellStart"/>
            <w:r>
              <w:t>Ogec</w:t>
            </w:r>
            <w:proofErr w:type="spellEnd"/>
            <w:r>
              <w:t>]</w:t>
            </w:r>
          </w:p>
          <w:p w14:paraId="3858DD51" w14:textId="77777777" w:rsidR="0008635F" w:rsidRDefault="00000000">
            <w:pPr>
              <w:spacing w:after="40"/>
            </w:pPr>
            <w:r>
              <w:t>[Adresse]</w:t>
            </w:r>
          </w:p>
          <w:p w14:paraId="442F4D3C" w14:textId="77777777" w:rsidR="0008635F" w:rsidRDefault="00000000">
            <w:pPr>
              <w:spacing w:after="40"/>
            </w:pPr>
            <w:r>
              <w:t>[Code postal – Ville]</w:t>
            </w:r>
          </w:p>
          <w:p w14:paraId="65B2C458" w14:textId="77777777" w:rsidR="0008635F" w:rsidRDefault="0008635F">
            <w:pPr>
              <w:spacing w:after="40"/>
            </w:pPr>
          </w:p>
          <w:p w14:paraId="16236419" w14:textId="77777777" w:rsidR="0008635F" w:rsidRDefault="00000000">
            <w:pPr>
              <w:spacing w:after="40"/>
            </w:pPr>
            <w:r>
              <w:t>N° Siret : […]</w:t>
            </w:r>
          </w:p>
          <w:p w14:paraId="66C3DDC9" w14:textId="77777777" w:rsidR="0008635F" w:rsidRDefault="00000000">
            <w:pPr>
              <w:spacing w:after="40"/>
            </w:pPr>
            <w:r>
              <w:t>N° de compte cotisant : […]</w:t>
            </w:r>
          </w:p>
          <w:p w14:paraId="03204589" w14:textId="77777777" w:rsidR="0008635F" w:rsidRDefault="00000000">
            <w:pPr>
              <w:spacing w:after="40"/>
            </w:pPr>
            <w:r>
              <w:t>Référence interne Urssaf : […]</w:t>
            </w:r>
          </w:p>
        </w:tc>
        <w:tc>
          <w:tcPr>
            <w:tcW w:w="42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08184043" w14:textId="77777777" w:rsidR="0008635F" w:rsidRDefault="00000000">
            <w:pPr>
              <w:spacing w:after="40"/>
            </w:pPr>
            <w:r>
              <w:rPr>
                <w:b/>
                <w:bCs/>
              </w:rPr>
              <w:t>Lettre recommandée avec accusé de réception</w:t>
            </w:r>
          </w:p>
          <w:p w14:paraId="2565F341" w14:textId="77777777" w:rsidR="0008635F" w:rsidRDefault="0008635F">
            <w:pPr>
              <w:spacing w:after="40"/>
            </w:pPr>
          </w:p>
          <w:p w14:paraId="5331D5D3" w14:textId="77777777" w:rsidR="0008635F" w:rsidRDefault="00000000">
            <w:pPr>
              <w:spacing w:after="40"/>
            </w:pPr>
            <w:r>
              <w:t>Commission de recours amiable</w:t>
            </w:r>
          </w:p>
          <w:p w14:paraId="39E4ECB6" w14:textId="77777777" w:rsidR="0008635F" w:rsidRDefault="00000000">
            <w:pPr>
              <w:spacing w:after="40"/>
            </w:pPr>
            <w:r>
              <w:t>Urssaf [région]</w:t>
            </w:r>
          </w:p>
          <w:p w14:paraId="1E59D73D" w14:textId="77777777" w:rsidR="0008635F" w:rsidRDefault="00000000">
            <w:pPr>
              <w:spacing w:after="40"/>
            </w:pPr>
            <w:r>
              <w:t>[Adresse de la commission de recours amiable]</w:t>
            </w:r>
          </w:p>
          <w:p w14:paraId="77A2FFD2" w14:textId="77777777" w:rsidR="0008635F" w:rsidRDefault="00000000">
            <w:pPr>
              <w:spacing w:after="40"/>
            </w:pPr>
            <w:r>
              <w:t>[Code postal – Ville]</w:t>
            </w:r>
          </w:p>
          <w:p w14:paraId="433D1220" w14:textId="77777777" w:rsidR="0008635F" w:rsidRDefault="0008635F">
            <w:pPr>
              <w:spacing w:after="40"/>
            </w:pPr>
          </w:p>
          <w:p w14:paraId="18ED32C3" w14:textId="77777777" w:rsidR="0008635F" w:rsidRDefault="00000000">
            <w:pPr>
              <w:spacing w:after="40"/>
            </w:pPr>
            <w:r>
              <w:t>À [ville], le [date]</w:t>
            </w:r>
          </w:p>
        </w:tc>
      </w:tr>
    </w:tbl>
    <w:p w14:paraId="34FCDF7F" w14:textId="77777777" w:rsidR="0008635F" w:rsidRDefault="0008635F">
      <w:pPr>
        <w:spacing w:after="240"/>
      </w:pPr>
    </w:p>
    <w:p w14:paraId="6416E9D8" w14:textId="77777777" w:rsidR="0008635F" w:rsidRDefault="00000000">
      <w:pPr>
        <w:spacing w:after="80" w:line="260" w:lineRule="auto"/>
        <w:jc w:val="both"/>
      </w:pPr>
      <w:r>
        <w:rPr>
          <w:b/>
          <w:bCs/>
        </w:rPr>
        <w:t>Objet : saisine de la commission de recours amiable – contestation de l’assujettissement à la taxe d’apprentissage</w:t>
      </w:r>
    </w:p>
    <w:p w14:paraId="5E15F416" w14:textId="77777777" w:rsidR="0008635F" w:rsidRDefault="00000000">
      <w:pPr>
        <w:spacing w:after="280" w:line="260" w:lineRule="auto"/>
        <w:jc w:val="both"/>
      </w:pPr>
      <w:r>
        <w:t>Décision contestée : [courrier d’assujettissement / mise en demeure] de l’Urssaf [région] du [date], référence […].</w:t>
      </w:r>
    </w:p>
    <w:p w14:paraId="0B41CA0F" w14:textId="77777777" w:rsidR="0008635F" w:rsidRDefault="00000000">
      <w:pPr>
        <w:spacing w:after="200" w:line="260" w:lineRule="auto"/>
        <w:jc w:val="both"/>
      </w:pPr>
      <w:r>
        <w:t>Madame, Monsieur le Président,</w:t>
      </w:r>
    </w:p>
    <w:p w14:paraId="75F161A9" w14:textId="77777777" w:rsidR="0008635F" w:rsidRDefault="00000000">
      <w:pPr>
        <w:spacing w:after="140" w:line="260" w:lineRule="auto"/>
        <w:jc w:val="both"/>
      </w:pPr>
      <w:r>
        <w:t>L’association [nom de l’</w:t>
      </w:r>
      <w:proofErr w:type="spellStart"/>
      <w:r>
        <w:t>Ogec</w:t>
      </w:r>
      <w:proofErr w:type="spellEnd"/>
      <w:r>
        <w:t>], organisme de gestion de l’enseignement catholique gestionnaire de l’établissement [nom de l’établissement], représentée par son président en exercice, [prénom nom], a l’honneur de saisir votre commission, sur le fondement de l’article R. 142-1 du code de la sécurité sociale, aux fins de contester la décision visée en objet.</w:t>
      </w:r>
    </w:p>
    <w:p w14:paraId="483C83C9" w14:textId="77777777" w:rsidR="0008635F" w:rsidRDefault="00000000">
      <w:pPr>
        <w:spacing w:before="260" w:after="120"/>
      </w:pPr>
      <w:r>
        <w:rPr>
          <w:b/>
          <w:bCs/>
        </w:rPr>
        <w:t>1. Rappel des faits</w:t>
      </w:r>
    </w:p>
    <w:p w14:paraId="5498855E" w14:textId="77777777" w:rsidR="0008635F" w:rsidRDefault="00000000">
      <w:pPr>
        <w:spacing w:after="140" w:line="260" w:lineRule="auto"/>
        <w:jc w:val="both"/>
      </w:pPr>
      <w:r>
        <w:t>Par courrier du [date], l’Urssaf [région] nous a informés que notre association serait redevable de la taxe d’apprentissage à compter du 1ᵉʳ mars 2026, à la suite de la suppression, par l’article 135 de la loi n° 2026-103 du 19 février 2026 de finances pour 2026, de l’exonération dont bénéficiait le secteur dit non lucratif, qui figurait au 4° du III de l’article L. 6241-1 du code du travail.</w:t>
      </w:r>
    </w:p>
    <w:p w14:paraId="7A414EB2" w14:textId="77777777" w:rsidR="0008635F" w:rsidRDefault="00000000">
      <w:pPr>
        <w:spacing w:after="140" w:line="260" w:lineRule="auto"/>
        <w:jc w:val="both"/>
      </w:pPr>
      <w:r>
        <w:t>Par courrier du [date], nous avons contesté cette analyse en faisant valoir que notre association relève de la non-redevabilité prévue au 1° du III du même article, laquelle n’a pas été modifiée par la loi de finances pour 2026.</w:t>
      </w:r>
    </w:p>
    <w:p w14:paraId="367503EB" w14:textId="77777777" w:rsidR="0008635F" w:rsidRDefault="00000000">
      <w:pPr>
        <w:spacing w:after="140" w:line="260" w:lineRule="auto"/>
        <w:jc w:val="both"/>
      </w:pPr>
      <w:r>
        <w:t>[Le cas échéant : L’Urssaf a maintenu sa position par courrier du [date].] [Le cas échéant : Une mise en demeure d’un montant de […] € nous a été notifiée le [date].] La présente saisine tend à faire constater que notre association demeure non redevable de cette taxe.</w:t>
      </w:r>
    </w:p>
    <w:p w14:paraId="42240E96" w14:textId="77777777" w:rsidR="0008635F" w:rsidRDefault="00000000">
      <w:pPr>
        <w:spacing w:before="260" w:after="120"/>
      </w:pPr>
      <w:r>
        <w:rPr>
          <w:b/>
          <w:bCs/>
        </w:rPr>
        <w:t xml:space="preserve">2. La loi de finances pour 2026 n’a pas modifié le cas de non-redevabilité applicable aux </w:t>
      </w:r>
      <w:proofErr w:type="spellStart"/>
      <w:r>
        <w:rPr>
          <w:b/>
          <w:bCs/>
        </w:rPr>
        <w:t>Ogec</w:t>
      </w:r>
      <w:proofErr w:type="spellEnd"/>
    </w:p>
    <w:p w14:paraId="7C505D84" w14:textId="77777777" w:rsidR="0008635F" w:rsidRDefault="00000000">
      <w:pPr>
        <w:spacing w:after="140" w:line="260" w:lineRule="auto"/>
        <w:jc w:val="both"/>
      </w:pPr>
      <w:r>
        <w:t>Le III de l’article L. 6241-1 du code du travail énumère les employeurs non redevables de la taxe d’apprentissage. Son 1° vise :</w:t>
      </w:r>
    </w:p>
    <w:p w14:paraId="322086AB" w14:textId="77777777" w:rsidR="0008635F" w:rsidRDefault="00000000">
      <w:pPr>
        <w:spacing w:after="140" w:line="260" w:lineRule="auto"/>
        <w:ind w:left="454" w:right="227"/>
        <w:jc w:val="both"/>
      </w:pPr>
      <w:r>
        <w:rPr>
          <w:i/>
          <w:iCs/>
          <w:sz w:val="20"/>
          <w:szCs w:val="20"/>
        </w:rPr>
        <w:lastRenderedPageBreak/>
        <w:t>« Les sociétés et personnes morales ayant pour objet exclusif les enseignements maternel, primaire, secondaire, supérieur, technique agricole, industriel et commercial, technologique, ainsi que de l’ensemble des disciplines médicales et paramédicales placées sous l’autorité du ministère en charge de la santé. »</w:t>
      </w:r>
    </w:p>
    <w:p w14:paraId="24DB0F63" w14:textId="77777777" w:rsidR="0008635F" w:rsidRDefault="00000000">
      <w:pPr>
        <w:spacing w:after="140" w:line="260" w:lineRule="auto"/>
        <w:jc w:val="both"/>
      </w:pPr>
      <w:r>
        <w:t>Le dernier alinéa du même III précise :</w:t>
      </w:r>
    </w:p>
    <w:p w14:paraId="02EA0476" w14:textId="77777777" w:rsidR="0008635F" w:rsidRDefault="00000000">
      <w:pPr>
        <w:spacing w:after="140" w:line="260" w:lineRule="auto"/>
        <w:ind w:left="454" w:right="227"/>
        <w:jc w:val="both"/>
      </w:pPr>
      <w:r>
        <w:rPr>
          <w:i/>
          <w:iCs/>
          <w:sz w:val="20"/>
          <w:szCs w:val="20"/>
        </w:rPr>
        <w:t>« La réalisation d’activités commerciales accessoires par les employeurs non redevables de cette taxe d’apprentissage en application du présent III ne remet pas en cause le bénéfice de l’exonération. »</w:t>
      </w:r>
    </w:p>
    <w:p w14:paraId="66B9DEE2" w14:textId="77777777" w:rsidR="0008635F" w:rsidRDefault="00000000">
      <w:pPr>
        <w:spacing w:after="140" w:line="260" w:lineRule="auto"/>
        <w:jc w:val="both"/>
      </w:pPr>
      <w:r>
        <w:t>L’article 135 de la loi de finances pour 2026 a abrogé le seul 4° du III, relatif aux organismes non lucratifs mentionnés au 1 bis de l’article 206 et aux 5°, 5° bis et 11° de l’article 207 du code général des impôts. Le 1° du III demeure en vigueur dans sa rédaction antérieure. L’extension du champ d’assujettissement de principe des associations est donc sans incidence sur le bénéfice de ce cas autonome de non-redevabilité, qui tient à la nature de l’activité exercée et non à la forme juridique de l’employeur.</w:t>
      </w:r>
    </w:p>
    <w:p w14:paraId="03A870E7" w14:textId="77777777" w:rsidR="0008635F" w:rsidRDefault="00000000">
      <w:pPr>
        <w:spacing w:before="260" w:after="120"/>
      </w:pPr>
      <w:r>
        <w:rPr>
          <w:b/>
          <w:bCs/>
        </w:rPr>
        <w:t xml:space="preserve">3. Le réseau des Urssaf reconnaît désormais que les </w:t>
      </w:r>
      <w:proofErr w:type="spellStart"/>
      <w:r>
        <w:rPr>
          <w:b/>
          <w:bCs/>
        </w:rPr>
        <w:t>Ogec</w:t>
      </w:r>
      <w:proofErr w:type="spellEnd"/>
      <w:r>
        <w:rPr>
          <w:b/>
          <w:bCs/>
        </w:rPr>
        <w:t xml:space="preserve"> relèvent du 1° du III</w:t>
      </w:r>
    </w:p>
    <w:p w14:paraId="70000E81" w14:textId="77777777" w:rsidR="0008635F" w:rsidRDefault="00000000">
      <w:pPr>
        <w:spacing w:after="140" w:line="260" w:lineRule="auto"/>
        <w:jc w:val="both"/>
      </w:pPr>
      <w:r>
        <w:t>La question de l’interprétation de la condition d</w:t>
      </w:r>
      <w:proofErr w:type="gramStart"/>
      <w:r>
        <w:t>’«</w:t>
      </w:r>
      <w:proofErr w:type="gramEnd"/>
      <w:r>
        <w:t xml:space="preserve"> objet exclusif » au regard du rôle juridique des </w:t>
      </w:r>
      <w:proofErr w:type="spellStart"/>
      <w:r>
        <w:t>Ogec</w:t>
      </w:r>
      <w:proofErr w:type="spellEnd"/>
      <w:r>
        <w:t xml:space="preserve"> a fait l’objet d’un examen au niveau national, en coordination entre la Direction de la sécurité sociale et la Délégation générale à l’emploi et à la formation professionnelle (DGEFP). Ce processus a abouti à un changement de doctrine, dont les caisses tirent les conséquences par courriers individuels depuis le 24 août 2026.</w:t>
      </w:r>
    </w:p>
    <w:p w14:paraId="4D395ABB" w14:textId="77777777" w:rsidR="0008635F" w:rsidRDefault="00000000">
      <w:pPr>
        <w:spacing w:after="140" w:line="260" w:lineRule="auto"/>
        <w:jc w:val="both"/>
      </w:pPr>
      <w:r>
        <w:t>L’Urssaf Aquitaine, par courrier du 27 août 2026 portant la mention « Annule et remplace », écrit ainsi :</w:t>
      </w:r>
    </w:p>
    <w:p w14:paraId="2C5A991E" w14:textId="77777777" w:rsidR="0008635F" w:rsidRDefault="00000000">
      <w:pPr>
        <w:spacing w:after="140" w:line="260" w:lineRule="auto"/>
        <w:ind w:left="454" w:right="227"/>
        <w:jc w:val="both"/>
      </w:pPr>
      <w:r>
        <w:rPr>
          <w:i/>
          <w:iCs/>
          <w:sz w:val="20"/>
          <w:szCs w:val="20"/>
        </w:rPr>
        <w:t>« Toutefois, à la suite d’un changement de doctrine effectué par l’Urssaf Caisse nationale en lien avec la Délégation générale à l’emploi et à la formation professionnelle (DGEFP), nous vous informons que les organismes de gestion de l’enseignement catholique (OGEC) demeurent non redevables de la taxe d’apprentissage en application du 1° du III de l’article L. 6241-1 du code du travail. En effet, les OGEC peuvent être regardés comme des personnes morales ayant pour objet exclusif l’enseignement au sens de ces dispositions. »</w:t>
      </w:r>
    </w:p>
    <w:p w14:paraId="2AB0DDEE" w14:textId="77777777" w:rsidR="0008635F" w:rsidRDefault="00000000">
      <w:pPr>
        <w:spacing w:after="140" w:line="260" w:lineRule="auto"/>
        <w:jc w:val="both"/>
      </w:pPr>
      <w:r>
        <w:t>L’Urssaf de Picardie, par courrier du 24 août 2026, retient la même analyse et en expose le motif :</w:t>
      </w:r>
    </w:p>
    <w:p w14:paraId="5E3EB89E" w14:textId="77777777" w:rsidR="0008635F" w:rsidRDefault="00000000">
      <w:pPr>
        <w:spacing w:after="140" w:line="260" w:lineRule="auto"/>
        <w:ind w:left="454" w:right="227"/>
        <w:jc w:val="both"/>
      </w:pPr>
      <w:r>
        <w:rPr>
          <w:i/>
          <w:iCs/>
          <w:sz w:val="20"/>
          <w:szCs w:val="20"/>
        </w:rPr>
        <w:t>« Ces missions ne constituent pas une activité autonome distincte de l’enseignement. Elles sont exercées exclusivement afin d’assurer le fonctionnement de l’établissement scolaire et la mise en œuvre de son projet éducatif. Elles sont indissociables de l’activité d’enseignement portée par la personne morale gestionnaire. […] La réforme issue de la loi de finances pour 2026, qui étend l’assujettissement de principe des associations à la taxe d’apprentissage, n’a pas pour effet de remettre en cause cette exonération spécifique liée à la notion d’enseignement exclusif. »</w:t>
      </w:r>
    </w:p>
    <w:p w14:paraId="273D7857" w14:textId="77777777" w:rsidR="0008635F" w:rsidRDefault="00000000">
      <w:pPr>
        <w:spacing w:after="140" w:line="260" w:lineRule="auto"/>
        <w:jc w:val="both"/>
      </w:pPr>
      <w:r>
        <w:t>L’Urssaf Lorraine, par courrier du 24 août 2026, précise la portée temporelle de cette position :</w:t>
      </w:r>
    </w:p>
    <w:p w14:paraId="7C3E6D81" w14:textId="77777777" w:rsidR="0008635F" w:rsidRDefault="00000000">
      <w:pPr>
        <w:spacing w:after="140" w:line="260" w:lineRule="auto"/>
        <w:ind w:left="454" w:right="227"/>
        <w:jc w:val="both"/>
      </w:pPr>
      <w:r>
        <w:rPr>
          <w:i/>
          <w:iCs/>
          <w:sz w:val="20"/>
          <w:szCs w:val="20"/>
        </w:rPr>
        <w:t>« En conséquence, je vous informe qu’en tant qu’organisme de gestion de l’enseignement catholique, vous demeurez non redevables de la taxe d’apprentissage, y compris pour les périodes postérieures au 1ᵉʳ mars 2026. »</w:t>
      </w:r>
    </w:p>
    <w:p w14:paraId="01FBEE25" w14:textId="77777777" w:rsidR="0008635F" w:rsidRDefault="00000000">
      <w:pPr>
        <w:spacing w:after="140" w:line="260" w:lineRule="auto"/>
        <w:jc w:val="both"/>
      </w:pPr>
      <w:r>
        <w:t>L’Urssaf Auvergne s’est prononcée dans le même sens par courrier du 25 août 2026, de même que l’Urssaf de Bretagne.</w:t>
      </w:r>
    </w:p>
    <w:p w14:paraId="38EBB3B8" w14:textId="77777777" w:rsidR="0008635F" w:rsidRDefault="00000000">
      <w:pPr>
        <w:spacing w:after="140" w:line="260" w:lineRule="auto"/>
        <w:jc w:val="both"/>
      </w:pPr>
      <w:r>
        <w:t>Ces courriers ne traduisent pas des appréciations locales divergentes : ils appliquent une doctrine arrêtée par l’Urssaf Caisse nationale en lien avec la DGEFP, qui a vocation à être appliquée de manière uniforme par l’ensemble du réseau. Maintenir à l’égard de notre association une position contraire à celle retenue pour des organismes placés dans une situation identique caractériserait une rupture d’égalité de traitement entre cotisants que rien ne justifie.</w:t>
      </w:r>
    </w:p>
    <w:p w14:paraId="455A6F1D" w14:textId="77777777" w:rsidR="0008635F" w:rsidRDefault="00000000">
      <w:pPr>
        <w:spacing w:after="140" w:line="260" w:lineRule="auto"/>
        <w:jc w:val="both"/>
      </w:pPr>
      <w:r>
        <w:t>Nous joignons copie de ces courriers à la présente saisine.</w:t>
      </w:r>
    </w:p>
    <w:p w14:paraId="39659123" w14:textId="77777777" w:rsidR="0008635F" w:rsidRDefault="00000000">
      <w:pPr>
        <w:spacing w:before="260" w:after="120"/>
      </w:pPr>
      <w:r>
        <w:rPr>
          <w:b/>
          <w:bCs/>
        </w:rPr>
        <w:lastRenderedPageBreak/>
        <w:t>4. Au fond : les missions de gestion de l’</w:t>
      </w:r>
      <w:proofErr w:type="spellStart"/>
      <w:r>
        <w:rPr>
          <w:b/>
          <w:bCs/>
        </w:rPr>
        <w:t>Ogec</w:t>
      </w:r>
      <w:proofErr w:type="spellEnd"/>
      <w:r>
        <w:rPr>
          <w:b/>
          <w:bCs/>
        </w:rPr>
        <w:t xml:space="preserve"> sont les modalités d’exercice de sa mission exclusive d’enseignement</w:t>
      </w:r>
    </w:p>
    <w:p w14:paraId="087DD13F" w14:textId="77777777" w:rsidR="0008635F" w:rsidRDefault="00000000">
      <w:pPr>
        <w:spacing w:after="140" w:line="260" w:lineRule="auto"/>
        <w:jc w:val="both"/>
      </w:pPr>
      <w:r>
        <w:t>En application des articles L. 441-1 et suivants et L. 442-1 et suivants du code de l’éducation, un établissement d’enseignement privé est géré par une personne morale de droit privé, qui conclut avec l’État le contrat d’association ou le contrat simple. Dans l’enseignement catholique, cette personne morale est l’organisme de gestion de l’enseignement catholique, constitué sous la forme d’une association régie par la loi du 1ᵉʳ juillet 1901.</w:t>
      </w:r>
    </w:p>
    <w:p w14:paraId="5DD11615" w14:textId="77777777" w:rsidR="0008635F" w:rsidRDefault="00000000">
      <w:pPr>
        <w:spacing w:after="140" w:line="260" w:lineRule="auto"/>
        <w:jc w:val="both"/>
      </w:pPr>
      <w:r>
        <w:t>L’article 134 du Statut de l’enseignement catholique en France (2013) définit sa mission :</w:t>
      </w:r>
    </w:p>
    <w:p w14:paraId="3949064F" w14:textId="77777777" w:rsidR="0008635F" w:rsidRDefault="00000000">
      <w:pPr>
        <w:spacing w:after="140" w:line="260" w:lineRule="auto"/>
        <w:ind w:left="454" w:right="227"/>
        <w:jc w:val="both"/>
      </w:pPr>
      <w:r>
        <w:rPr>
          <w:i/>
          <w:iCs/>
          <w:sz w:val="20"/>
          <w:szCs w:val="20"/>
        </w:rPr>
        <w:t>« L’organisme de gestion a la responsabilité de la gestion économique, financière et sociale d’un ou plusieurs établissement(s) ; il l’exerce conformément aux projets de l’école, aux orientations de l’autorité de tutelle et aux textes internes à l’Enseignement catholique. Il contribue à assurer la mise en œuvre matérielle du projet éducatif. Il est l’employeur des personnels de droit privé. »</w:t>
      </w:r>
    </w:p>
    <w:p w14:paraId="4183E701" w14:textId="77777777" w:rsidR="0008635F" w:rsidRDefault="00000000">
      <w:pPr>
        <w:spacing w:after="140" w:line="260" w:lineRule="auto"/>
        <w:jc w:val="both"/>
      </w:pPr>
      <w:r>
        <w:t>L’</w:t>
      </w:r>
      <w:proofErr w:type="spellStart"/>
      <w:r>
        <w:t>Ogec</w:t>
      </w:r>
      <w:proofErr w:type="spellEnd"/>
      <w:r>
        <w:t xml:space="preserve"> confère à l’établissement sa personnalité morale et assure juridiquement son existence : il en est le support juridique et agit pour son compte. Il n’a aucune existence ni activité autonome en dehors de l’établissement qu’il porte. Les responsabilités administratives, financières, sociales et immobilières qu’il exerce ne traduisent pas un objet distinct de l’enseignement ; elles en sont les moyens indispensables, rendus nécessaires par l’organisation juridique de l’enseignement privé sous contrat.</w:t>
      </w:r>
    </w:p>
    <w:p w14:paraId="7C41F730" w14:textId="77777777" w:rsidR="0008635F" w:rsidRDefault="00000000">
      <w:pPr>
        <w:spacing w:after="140" w:line="260" w:lineRule="auto"/>
        <w:jc w:val="both"/>
      </w:pPr>
      <w:r>
        <w:t>Quant aux activités dites accessoires – restauration, garderie, étude –, elles sont intégrées au projet éducatif et, en tout état de cause, expressément couvertes par le dernier alinéa du III de l’article L. 6241-1 précité, qui exclut qu’elles remettent en cause le bénéfice de la non-redevabilité.</w:t>
      </w:r>
    </w:p>
    <w:p w14:paraId="09B4E6E0" w14:textId="77777777" w:rsidR="0008635F" w:rsidRDefault="00000000">
      <w:pPr>
        <w:spacing w:after="140" w:line="260" w:lineRule="auto"/>
        <w:jc w:val="both"/>
      </w:pPr>
      <w:r>
        <w:t>Il en résulte que notre association doit être regardée comme une personne morale ayant pour objet exclusif l’enseignement au sens du 1° du III de l’article L. 6241-1 du code du travail.</w:t>
      </w:r>
    </w:p>
    <w:p w14:paraId="7C09CB5B" w14:textId="77777777" w:rsidR="0008635F" w:rsidRDefault="00000000">
      <w:pPr>
        <w:spacing w:before="260" w:after="120"/>
      </w:pPr>
      <w:r>
        <w:rPr>
          <w:b/>
          <w:bCs/>
        </w:rPr>
        <w:t>5. Demandes</w:t>
      </w:r>
    </w:p>
    <w:p w14:paraId="1ECB53CD" w14:textId="77777777" w:rsidR="0008635F" w:rsidRDefault="00000000">
      <w:pPr>
        <w:spacing w:after="140" w:line="260" w:lineRule="auto"/>
        <w:jc w:val="both"/>
      </w:pPr>
      <w:r>
        <w:t>Au vu de ces éléments, nous vous demandons de bien vouloir :</w:t>
      </w:r>
    </w:p>
    <w:p w14:paraId="795AAF1E" w14:textId="77777777" w:rsidR="0008635F" w:rsidRDefault="00000000">
      <w:pPr>
        <w:pStyle w:val="Paragraphedeliste"/>
        <w:numPr>
          <w:ilvl w:val="0"/>
          <w:numId w:val="2"/>
        </w:numPr>
        <w:spacing w:after="90" w:line="260" w:lineRule="auto"/>
        <w:jc w:val="both"/>
      </w:pPr>
      <w:proofErr w:type="gramStart"/>
      <w:r>
        <w:t>reconnaître</w:t>
      </w:r>
      <w:proofErr w:type="gramEnd"/>
      <w:r>
        <w:t xml:space="preserve"> que notre association n’est pas redevable de la taxe d’apprentissage en application du 1° du III de l’article L. 6241-1 du code du travail, y compris pour les périodes postérieures au 1ᵉʳ mars 2026 ;</w:t>
      </w:r>
    </w:p>
    <w:p w14:paraId="26FD1553" w14:textId="77777777" w:rsidR="0008635F" w:rsidRDefault="00000000">
      <w:pPr>
        <w:pStyle w:val="Paragraphedeliste"/>
        <w:numPr>
          <w:ilvl w:val="0"/>
          <w:numId w:val="2"/>
        </w:numPr>
        <w:spacing w:after="90" w:line="260" w:lineRule="auto"/>
        <w:jc w:val="both"/>
      </w:pPr>
      <w:proofErr w:type="gramStart"/>
      <w:r>
        <w:t>annuler</w:t>
      </w:r>
      <w:proofErr w:type="gramEnd"/>
      <w:r>
        <w:t xml:space="preserve"> en conséquence la décision de l’Urssaf [région] du [date], référence […], ainsi que [la mise en demeure du [date] / les sommes appelées à ce titre] ;</w:t>
      </w:r>
    </w:p>
    <w:p w14:paraId="5627DBB4" w14:textId="77777777" w:rsidR="0008635F" w:rsidRDefault="00000000">
      <w:pPr>
        <w:pStyle w:val="Paragraphedeliste"/>
        <w:numPr>
          <w:ilvl w:val="0"/>
          <w:numId w:val="2"/>
        </w:numPr>
        <w:spacing w:after="90" w:line="260" w:lineRule="auto"/>
        <w:jc w:val="both"/>
      </w:pPr>
      <w:proofErr w:type="gramStart"/>
      <w:r>
        <w:t>prononcer</w:t>
      </w:r>
      <w:proofErr w:type="gramEnd"/>
      <w:r>
        <w:t xml:space="preserve"> la décharge des sommes réclamées et ordonner le remboursement des sommes déjà versées au titre de cette taxe depuis le 1ᵉʳ mars 2026, soit […] € ;</w:t>
      </w:r>
    </w:p>
    <w:p w14:paraId="52247E54" w14:textId="77777777" w:rsidR="0008635F" w:rsidRDefault="00000000">
      <w:pPr>
        <w:pStyle w:val="Paragraphedeliste"/>
        <w:numPr>
          <w:ilvl w:val="0"/>
          <w:numId w:val="2"/>
        </w:numPr>
        <w:spacing w:after="90" w:line="260" w:lineRule="auto"/>
        <w:jc w:val="both"/>
      </w:pPr>
      <w:proofErr w:type="gramStart"/>
      <w:r>
        <w:t>à</w:t>
      </w:r>
      <w:proofErr w:type="gramEnd"/>
      <w:r>
        <w:t xml:space="preserve"> titre subsidiaire, accorder la remise intégrale des majorations de retard et pénalités, notre association ayant agi de bonne foi dans un contexte d’incertitude créé par l’administration elle-même et depuis levé par elle.</w:t>
      </w:r>
    </w:p>
    <w:p w14:paraId="5D0F329B" w14:textId="77777777" w:rsidR="0008635F" w:rsidRDefault="0008635F">
      <w:pPr>
        <w:spacing w:after="60"/>
      </w:pPr>
    </w:p>
    <w:p w14:paraId="2B155933" w14:textId="77777777" w:rsidR="0008635F" w:rsidRDefault="00000000">
      <w:pPr>
        <w:spacing w:after="140" w:line="260" w:lineRule="auto"/>
        <w:jc w:val="both"/>
      </w:pPr>
      <w:r>
        <w:t>Nous restons à votre disposition pour tout élément complémentaire et vous prions d’agréer, Madame, Monsieur le Président, l’expression de notre considération distinguée.</w:t>
      </w:r>
    </w:p>
    <w:p w14:paraId="6D0BBACA" w14:textId="77777777" w:rsidR="0008635F" w:rsidRDefault="0008635F">
      <w:pPr>
        <w:spacing w:after="200"/>
      </w:pPr>
    </w:p>
    <w:p w14:paraId="7609B93C" w14:textId="77777777" w:rsidR="0008635F" w:rsidRDefault="00000000">
      <w:pPr>
        <w:spacing w:after="40"/>
        <w:jc w:val="right"/>
      </w:pPr>
      <w:r>
        <w:t>Pour l’association [nom de l’</w:t>
      </w:r>
      <w:proofErr w:type="spellStart"/>
      <w:r>
        <w:t>Ogec</w:t>
      </w:r>
      <w:proofErr w:type="spellEnd"/>
      <w:r>
        <w:t>]</w:t>
      </w:r>
    </w:p>
    <w:p w14:paraId="6E143BB0" w14:textId="77777777" w:rsidR="0008635F" w:rsidRDefault="00000000">
      <w:pPr>
        <w:spacing w:after="40"/>
        <w:jc w:val="right"/>
      </w:pPr>
      <w:r>
        <w:t>[Prénom, nom du président ou représentant légal]</w:t>
      </w:r>
    </w:p>
    <w:p w14:paraId="1942C9BF" w14:textId="77777777" w:rsidR="0008635F" w:rsidRDefault="00000000">
      <w:pPr>
        <w:spacing w:after="240"/>
        <w:jc w:val="right"/>
      </w:pPr>
      <w:r>
        <w:t>[Signature]</w:t>
      </w:r>
    </w:p>
    <w:p w14:paraId="32427323" w14:textId="77777777" w:rsidR="0008635F" w:rsidRDefault="00000000">
      <w:pPr>
        <w:spacing w:before="260" w:after="120"/>
      </w:pPr>
      <w:r>
        <w:rPr>
          <w:b/>
          <w:bCs/>
        </w:rPr>
        <w:t>Pièces jointes</w:t>
      </w:r>
    </w:p>
    <w:p w14:paraId="3A47DBE2" w14:textId="77777777" w:rsidR="0008635F" w:rsidRDefault="00000000">
      <w:pPr>
        <w:pStyle w:val="Paragraphedeliste"/>
        <w:numPr>
          <w:ilvl w:val="0"/>
          <w:numId w:val="3"/>
        </w:numPr>
        <w:spacing w:after="90" w:line="260" w:lineRule="auto"/>
        <w:jc w:val="both"/>
      </w:pPr>
      <w:r>
        <w:t>1. Statuts de l’association et justificatif de la qualité du représentant légal.</w:t>
      </w:r>
    </w:p>
    <w:p w14:paraId="71CB4298" w14:textId="77777777" w:rsidR="0008635F" w:rsidRDefault="00000000">
      <w:pPr>
        <w:pStyle w:val="Paragraphedeliste"/>
        <w:numPr>
          <w:ilvl w:val="0"/>
          <w:numId w:val="3"/>
        </w:numPr>
        <w:spacing w:after="90" w:line="260" w:lineRule="auto"/>
        <w:jc w:val="both"/>
      </w:pPr>
      <w:r>
        <w:lastRenderedPageBreak/>
        <w:t>2. Décision contestée de l’Urssaf [région] du [date] [et mise en demeure du [date]].</w:t>
      </w:r>
    </w:p>
    <w:p w14:paraId="1DC6A4BA" w14:textId="77777777" w:rsidR="0008635F" w:rsidRDefault="00000000">
      <w:pPr>
        <w:pStyle w:val="Paragraphedeliste"/>
        <w:numPr>
          <w:ilvl w:val="0"/>
          <w:numId w:val="3"/>
        </w:numPr>
        <w:spacing w:after="90" w:line="260" w:lineRule="auto"/>
        <w:jc w:val="both"/>
      </w:pPr>
      <w:r>
        <w:t>3. Copie des échanges avec l’Urssaf depuis février 2026.</w:t>
      </w:r>
    </w:p>
    <w:p w14:paraId="68AA2F70" w14:textId="77777777" w:rsidR="0008635F" w:rsidRDefault="00000000">
      <w:pPr>
        <w:pStyle w:val="Paragraphedeliste"/>
        <w:numPr>
          <w:ilvl w:val="0"/>
          <w:numId w:val="3"/>
        </w:numPr>
        <w:spacing w:after="90" w:line="260" w:lineRule="auto"/>
        <w:jc w:val="both"/>
      </w:pPr>
      <w:r>
        <w:t>4. Courrier de l’Urssaf Aquitaine du 27 août 2026 (« annule et remplace »).</w:t>
      </w:r>
    </w:p>
    <w:p w14:paraId="63EABA8B" w14:textId="77777777" w:rsidR="0008635F" w:rsidRDefault="00000000">
      <w:pPr>
        <w:pStyle w:val="Paragraphedeliste"/>
        <w:numPr>
          <w:ilvl w:val="0"/>
          <w:numId w:val="3"/>
        </w:numPr>
        <w:spacing w:after="90" w:line="260" w:lineRule="auto"/>
        <w:jc w:val="both"/>
      </w:pPr>
      <w:r>
        <w:t>5. Courrier de l’Urssaf de Picardie du 24 août 2026.</w:t>
      </w:r>
    </w:p>
    <w:p w14:paraId="3F03650D" w14:textId="77777777" w:rsidR="0008635F" w:rsidRDefault="00000000">
      <w:pPr>
        <w:pStyle w:val="Paragraphedeliste"/>
        <w:numPr>
          <w:ilvl w:val="0"/>
          <w:numId w:val="3"/>
        </w:numPr>
        <w:spacing w:after="90" w:line="260" w:lineRule="auto"/>
        <w:jc w:val="both"/>
      </w:pPr>
      <w:r>
        <w:t>6. Courrier de l’Urssaf Lorraine du 24 août 2026.</w:t>
      </w:r>
    </w:p>
    <w:p w14:paraId="0048758C" w14:textId="77777777" w:rsidR="0008635F" w:rsidRDefault="00000000">
      <w:pPr>
        <w:pStyle w:val="Paragraphedeliste"/>
        <w:numPr>
          <w:ilvl w:val="0"/>
          <w:numId w:val="3"/>
        </w:numPr>
        <w:spacing w:after="90" w:line="260" w:lineRule="auto"/>
        <w:jc w:val="both"/>
      </w:pPr>
      <w:r>
        <w:t>7. Courrier de l’Urssaf Auvergne du 25 août 2026.</w:t>
      </w:r>
    </w:p>
    <w:p w14:paraId="76D23CD2" w14:textId="77777777" w:rsidR="0008635F" w:rsidRDefault="00000000">
      <w:pPr>
        <w:pStyle w:val="Paragraphedeliste"/>
        <w:numPr>
          <w:ilvl w:val="0"/>
          <w:numId w:val="3"/>
        </w:numPr>
        <w:spacing w:after="90" w:line="260" w:lineRule="auto"/>
        <w:jc w:val="both"/>
      </w:pPr>
      <w:r>
        <w:t>8. Contrat d’association conclu avec l’État [et extrait du Statut de l’enseignement catholique en France, article 134].</w:t>
      </w:r>
    </w:p>
    <w:p w14:paraId="7A7430A2" w14:textId="77777777" w:rsidR="0008635F" w:rsidRDefault="00000000">
      <w:pPr>
        <w:pStyle w:val="Paragraphedeliste"/>
        <w:numPr>
          <w:ilvl w:val="0"/>
          <w:numId w:val="3"/>
        </w:numPr>
        <w:spacing w:after="90" w:line="260" w:lineRule="auto"/>
        <w:jc w:val="both"/>
      </w:pPr>
      <w:r>
        <w:t>9. [Le cas échéant] Justificatif des sommes versées au titre de la taxe d’apprentissage depuis le 1ᵉʳ mars 2026.</w:t>
      </w:r>
    </w:p>
    <w:sectPr w:rsidR="0008635F">
      <w:pgSz w:w="11906" w:h="16838"/>
      <w:pgMar w:top="1296" w:right="1440" w:bottom="1152"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7210C"/>
    <w:multiLevelType w:val="hybridMultilevel"/>
    <w:tmpl w:val="1160E4B6"/>
    <w:lvl w:ilvl="0" w:tplc="DE5C037A">
      <w:start w:val="1"/>
      <w:numFmt w:val="bullet"/>
      <w:lvlText w:val="•"/>
      <w:lvlJc w:val="left"/>
      <w:pPr>
        <w:ind w:left="454" w:hanging="227"/>
      </w:pPr>
    </w:lvl>
    <w:lvl w:ilvl="1" w:tplc="CE40F138">
      <w:numFmt w:val="decimal"/>
      <w:lvlText w:val=""/>
      <w:lvlJc w:val="left"/>
    </w:lvl>
    <w:lvl w:ilvl="2" w:tplc="71F40618">
      <w:numFmt w:val="decimal"/>
      <w:lvlText w:val=""/>
      <w:lvlJc w:val="left"/>
    </w:lvl>
    <w:lvl w:ilvl="3" w:tplc="FFB8B940">
      <w:numFmt w:val="decimal"/>
      <w:lvlText w:val=""/>
      <w:lvlJc w:val="left"/>
    </w:lvl>
    <w:lvl w:ilvl="4" w:tplc="8146F9EC">
      <w:numFmt w:val="decimal"/>
      <w:lvlText w:val=""/>
      <w:lvlJc w:val="left"/>
    </w:lvl>
    <w:lvl w:ilvl="5" w:tplc="669607A2">
      <w:numFmt w:val="decimal"/>
      <w:lvlText w:val=""/>
      <w:lvlJc w:val="left"/>
    </w:lvl>
    <w:lvl w:ilvl="6" w:tplc="1D269B8A">
      <w:numFmt w:val="decimal"/>
      <w:lvlText w:val=""/>
      <w:lvlJc w:val="left"/>
    </w:lvl>
    <w:lvl w:ilvl="7" w:tplc="9EE65B56">
      <w:numFmt w:val="decimal"/>
      <w:lvlText w:val=""/>
      <w:lvlJc w:val="left"/>
    </w:lvl>
    <w:lvl w:ilvl="8" w:tplc="832A56B6">
      <w:numFmt w:val="decimal"/>
      <w:lvlText w:val=""/>
      <w:lvlJc w:val="left"/>
    </w:lvl>
  </w:abstractNum>
  <w:abstractNum w:abstractNumId="1" w15:restartNumberingAfterBreak="0">
    <w:nsid w:val="56931E7C"/>
    <w:multiLevelType w:val="hybridMultilevel"/>
    <w:tmpl w:val="4ED249B0"/>
    <w:lvl w:ilvl="0" w:tplc="3D00A3CA">
      <w:start w:val="1"/>
      <w:numFmt w:val="bullet"/>
      <w:lvlText w:val="–"/>
      <w:lvlJc w:val="left"/>
      <w:pPr>
        <w:ind w:left="454" w:hanging="227"/>
      </w:pPr>
    </w:lvl>
    <w:lvl w:ilvl="1" w:tplc="F8C08392">
      <w:numFmt w:val="decimal"/>
      <w:lvlText w:val=""/>
      <w:lvlJc w:val="left"/>
    </w:lvl>
    <w:lvl w:ilvl="2" w:tplc="FAAE7DC8">
      <w:numFmt w:val="decimal"/>
      <w:lvlText w:val=""/>
      <w:lvlJc w:val="left"/>
    </w:lvl>
    <w:lvl w:ilvl="3" w:tplc="D6C8564A">
      <w:numFmt w:val="decimal"/>
      <w:lvlText w:val=""/>
      <w:lvlJc w:val="left"/>
    </w:lvl>
    <w:lvl w:ilvl="4" w:tplc="E20685BA">
      <w:numFmt w:val="decimal"/>
      <w:lvlText w:val=""/>
      <w:lvlJc w:val="left"/>
    </w:lvl>
    <w:lvl w:ilvl="5" w:tplc="DAA693D2">
      <w:numFmt w:val="decimal"/>
      <w:lvlText w:val=""/>
      <w:lvlJc w:val="left"/>
    </w:lvl>
    <w:lvl w:ilvl="6" w:tplc="6352BFF6">
      <w:numFmt w:val="decimal"/>
      <w:lvlText w:val=""/>
      <w:lvlJc w:val="left"/>
    </w:lvl>
    <w:lvl w:ilvl="7" w:tplc="CFE62CC0">
      <w:numFmt w:val="decimal"/>
      <w:lvlText w:val=""/>
      <w:lvlJc w:val="left"/>
    </w:lvl>
    <w:lvl w:ilvl="8" w:tplc="05DE706E">
      <w:numFmt w:val="decimal"/>
      <w:lvlText w:val=""/>
      <w:lvlJc w:val="left"/>
    </w:lvl>
  </w:abstractNum>
  <w:abstractNum w:abstractNumId="2" w15:restartNumberingAfterBreak="0">
    <w:nsid w:val="74677385"/>
    <w:multiLevelType w:val="hybridMultilevel"/>
    <w:tmpl w:val="ED3E0100"/>
    <w:lvl w:ilvl="0" w:tplc="C2502E20">
      <w:start w:val="1"/>
      <w:numFmt w:val="bullet"/>
      <w:lvlText w:val="●"/>
      <w:lvlJc w:val="left"/>
      <w:pPr>
        <w:ind w:left="720" w:hanging="360"/>
      </w:pPr>
    </w:lvl>
    <w:lvl w:ilvl="1" w:tplc="DFC64EAC">
      <w:start w:val="1"/>
      <w:numFmt w:val="bullet"/>
      <w:lvlText w:val="○"/>
      <w:lvlJc w:val="left"/>
      <w:pPr>
        <w:ind w:left="1440" w:hanging="360"/>
      </w:pPr>
    </w:lvl>
    <w:lvl w:ilvl="2" w:tplc="71FE8CC0">
      <w:start w:val="1"/>
      <w:numFmt w:val="bullet"/>
      <w:lvlText w:val="■"/>
      <w:lvlJc w:val="left"/>
      <w:pPr>
        <w:ind w:left="2160" w:hanging="360"/>
      </w:pPr>
    </w:lvl>
    <w:lvl w:ilvl="3" w:tplc="2A020C2E">
      <w:start w:val="1"/>
      <w:numFmt w:val="bullet"/>
      <w:lvlText w:val="●"/>
      <w:lvlJc w:val="left"/>
      <w:pPr>
        <w:ind w:left="2880" w:hanging="360"/>
      </w:pPr>
    </w:lvl>
    <w:lvl w:ilvl="4" w:tplc="98A44B72">
      <w:start w:val="1"/>
      <w:numFmt w:val="bullet"/>
      <w:lvlText w:val="○"/>
      <w:lvlJc w:val="left"/>
      <w:pPr>
        <w:ind w:left="3600" w:hanging="360"/>
      </w:pPr>
    </w:lvl>
    <w:lvl w:ilvl="5" w:tplc="E24040D4">
      <w:start w:val="1"/>
      <w:numFmt w:val="bullet"/>
      <w:lvlText w:val="■"/>
      <w:lvlJc w:val="left"/>
      <w:pPr>
        <w:ind w:left="4320" w:hanging="360"/>
      </w:pPr>
    </w:lvl>
    <w:lvl w:ilvl="6" w:tplc="95124DF4">
      <w:start w:val="1"/>
      <w:numFmt w:val="bullet"/>
      <w:lvlText w:val="●"/>
      <w:lvlJc w:val="left"/>
      <w:pPr>
        <w:ind w:left="5040" w:hanging="360"/>
      </w:pPr>
    </w:lvl>
    <w:lvl w:ilvl="7" w:tplc="09DA4A2C">
      <w:start w:val="1"/>
      <w:numFmt w:val="bullet"/>
      <w:lvlText w:val="●"/>
      <w:lvlJc w:val="left"/>
      <w:pPr>
        <w:ind w:left="5760" w:hanging="360"/>
      </w:pPr>
    </w:lvl>
    <w:lvl w:ilvl="8" w:tplc="EAB4C324">
      <w:start w:val="1"/>
      <w:numFmt w:val="bullet"/>
      <w:lvlText w:val="●"/>
      <w:lvlJc w:val="left"/>
      <w:pPr>
        <w:ind w:left="6480" w:hanging="360"/>
      </w:pPr>
    </w:lvl>
  </w:abstractNum>
  <w:num w:numId="1" w16cid:durableId="1115756036">
    <w:abstractNumId w:val="2"/>
    <w:lvlOverride w:ilvl="0">
      <w:startOverride w:val="1"/>
    </w:lvlOverride>
  </w:num>
  <w:num w:numId="2" w16cid:durableId="627711564">
    <w:abstractNumId w:val="0"/>
    <w:lvlOverride w:ilvl="0">
      <w:startOverride w:val="1"/>
    </w:lvlOverride>
  </w:num>
  <w:num w:numId="3" w16cid:durableId="173743293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35F"/>
    <w:rsid w:val="0008635F"/>
    <w:rsid w:val="00BC3248"/>
    <w:rsid w:val="00E71202"/>
    <w:rsid w:val="00F53F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D264"/>
  <w15:docId w15:val="{B56FD95A-9AF5-4D7D-B4E0-4BCC3D80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1621</Words>
  <Characters>8919</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Cédric CROLET</cp:lastModifiedBy>
  <cp:revision>2</cp:revision>
  <dcterms:created xsi:type="dcterms:W3CDTF">2026-08-31T12:28:00Z</dcterms:created>
  <dcterms:modified xsi:type="dcterms:W3CDTF">2026-09-01T10:31:00Z</dcterms:modified>
</cp:coreProperties>
</file>