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123D" w14:textId="53E8827B" w:rsidR="00A038B5" w:rsidRPr="00A038B5" w:rsidRDefault="00A038B5" w:rsidP="00A038B5">
      <w:pPr>
        <w:pStyle w:val="dHeadh2Niv8"/>
        <w:rPr>
          <w:rFonts w:ascii="Century Gothic" w:hAnsi="Century Gothic"/>
        </w:rPr>
      </w:pPr>
      <w:bookmarkStart w:id="0" w:name="_Toc68618071"/>
      <w:r w:rsidRPr="00A038B5">
        <w:rPr>
          <w:rFonts w:ascii="Century Gothic" w:hAnsi="Century Gothic"/>
        </w:rPr>
        <w:t>Clauses générales d'un accord d'entreprise</w:t>
      </w:r>
      <w:bookmarkEnd w:id="0"/>
    </w:p>
    <w:p w14:paraId="13DB3885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Préambule</w:t>
      </w:r>
    </w:p>
    <w:p w14:paraId="5C140807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Le présent accord a pour objet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 xml:space="preserve"> et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citenClspan"/>
          <w:rFonts w:ascii="Century Gothic" w:hAnsi="Century Gothic"/>
          <w:color w:val="auto"/>
        </w:rPr>
        <w:t>fixe ou détermine les conditions, etc.</w:t>
      </w:r>
      <w:r w:rsidRPr="00A038B5">
        <w:rPr>
          <w:rStyle w:val="hintinput"/>
          <w:rFonts w:ascii="Century Gothic" w:hAnsi="Century Gothic"/>
          <w:color w:val="auto"/>
        </w:rPr>
        <w:t>&gt;&gt;</w:t>
      </w:r>
    </w:p>
    <w:p w14:paraId="0784D9DA" w14:textId="54BAD0C8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Les signataires ont estimé en effet que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 xml:space="preserve">, ont souhaité clarifier la situation de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>, afin d'éviter les contentieux individuels qui, etc.</w:t>
      </w:r>
    </w:p>
    <w:p w14:paraId="24B87DB2" w14:textId="77777777" w:rsidR="00A038B5" w:rsidRDefault="00A038B5" w:rsidP="00A038B5">
      <w:pPr>
        <w:pStyle w:val="dTxTpd1"/>
        <w:rPr>
          <w:rFonts w:ascii="Century Gothic" w:hAnsi="Century Gothic"/>
          <w:color w:val="auto"/>
        </w:rPr>
      </w:pPr>
    </w:p>
    <w:p w14:paraId="0EA6237D" w14:textId="19E2969B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1. Champ d'application</w:t>
      </w:r>
    </w:p>
    <w:p w14:paraId="16AC3B18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Le présent accord s'applique :</w:t>
      </w:r>
    </w:p>
    <w:p w14:paraId="6863C289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...Début variante...</w:t>
      </w:r>
    </w:p>
    <w:p w14:paraId="562AF229" w14:textId="77777777" w:rsidR="00A038B5" w:rsidRPr="00A038B5" w:rsidRDefault="00A038B5" w:rsidP="00A038B5">
      <w:pPr>
        <w:pStyle w:val="dTxTdivrBoxdivrhDesc"/>
        <w:rPr>
          <w:rFonts w:ascii="Century Gothic" w:hAnsi="Century Gothic"/>
        </w:rPr>
      </w:pPr>
      <w:r w:rsidRPr="00A038B5">
        <w:rPr>
          <w:rFonts w:ascii="Century Gothic" w:hAnsi="Century Gothic"/>
        </w:rPr>
        <w:t>Préciser les catégories professionnelles visées</w:t>
      </w:r>
    </w:p>
    <w:p w14:paraId="4898FA6B" w14:textId="53365E94" w:rsidR="00A038B5" w:rsidRPr="00A038B5" w:rsidRDefault="00A038B5" w:rsidP="00A038B5">
      <w:pPr>
        <w:pStyle w:val="dTxTdivrBoxulli1"/>
        <w:rPr>
          <w:rFonts w:ascii="Century Gothic" w:hAnsi="Century Gothic"/>
        </w:rPr>
      </w:pPr>
      <w:r w:rsidRPr="00A038B5">
        <w:rPr>
          <w:rFonts w:ascii="Century Gothic" w:hAnsi="Century Gothic"/>
        </w:rPr>
        <w:t xml:space="preserve">— à l'ensemble du personnel salarié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citenClspan"/>
          <w:rFonts w:ascii="Century Gothic" w:hAnsi="Century Gothic"/>
          <w:color w:val="auto"/>
        </w:rPr>
        <w:t xml:space="preserve">de </w:t>
      </w:r>
      <w:r>
        <w:rPr>
          <w:rStyle w:val="citenClspan"/>
          <w:rFonts w:ascii="Century Gothic" w:hAnsi="Century Gothic"/>
          <w:color w:val="auto"/>
        </w:rPr>
        <w:t>l’OGEC</w:t>
      </w:r>
      <w:r w:rsidRPr="00A038B5">
        <w:rPr>
          <w:rStyle w:val="citenClspan"/>
          <w:rFonts w:ascii="Century Gothic" w:hAnsi="Century Gothic"/>
          <w:color w:val="auto"/>
        </w:rPr>
        <w:t>, de l'établissement ou des établissements</w:t>
      </w:r>
      <w:r w:rsidR="00C21DC9" w:rsidRPr="00C21DC9">
        <w:rPr>
          <w:rFonts w:ascii="Century Gothic" w:hAnsi="Century Gothic"/>
        </w:rPr>
        <w:t xml:space="preserve"> </w:t>
      </w:r>
      <w:r w:rsidR="00C21DC9">
        <w:rPr>
          <w:rFonts w:ascii="Century Gothic" w:hAnsi="Century Gothic"/>
        </w:rPr>
        <w:t>l</w:t>
      </w:r>
      <w:r w:rsidR="00C21DC9">
        <w:rPr>
          <w:rFonts w:ascii="Century Gothic" w:hAnsi="Century Gothic"/>
        </w:rPr>
        <w:t xml:space="preserve">a question de l’application au Chef d’établissement de l’accord est à traiter : </w:t>
      </w:r>
      <w:r w:rsidR="00C21DC9" w:rsidRPr="00C21DC9">
        <w:rPr>
          <w:rFonts w:ascii="Century Gothic" w:hAnsi="Century Gothic"/>
          <w:i/>
          <w:iCs/>
        </w:rPr>
        <w:t>une mention</w:t>
      </w:r>
      <w:r w:rsidR="00C21DC9">
        <w:rPr>
          <w:rFonts w:ascii="Century Gothic" w:hAnsi="Century Gothic"/>
          <w:i/>
          <w:iCs/>
        </w:rPr>
        <w:t xml:space="preserve"> d’exclusion peut être prévue : </w:t>
      </w:r>
      <w:r w:rsidR="00C21DC9" w:rsidRPr="00C21DC9">
        <w:rPr>
          <w:rFonts w:ascii="Century Gothic" w:hAnsi="Century Gothic"/>
          <w:i/>
          <w:iCs/>
        </w:rPr>
        <w:t xml:space="preserve"> à l’exception des salariés</w:t>
      </w:r>
      <w:r w:rsidR="00C21DC9">
        <w:rPr>
          <w:rFonts w:ascii="Century Gothic" w:hAnsi="Century Gothic"/>
          <w:i/>
          <w:iCs/>
        </w:rPr>
        <w:t xml:space="preserve"> sous statut</w:t>
      </w:r>
      <w:r w:rsidR="00C21DC9" w:rsidRPr="00A038B5">
        <w:rPr>
          <w:rStyle w:val="hintinput"/>
          <w:rFonts w:ascii="Century Gothic" w:hAnsi="Century Gothic"/>
          <w:color w:val="auto"/>
        </w:rPr>
        <w:t xml:space="preserve"> </w:t>
      </w:r>
      <w:r w:rsidRPr="00A038B5">
        <w:rPr>
          <w:rStyle w:val="hintinput"/>
          <w:rFonts w:ascii="Century Gothic" w:hAnsi="Century Gothic"/>
          <w:color w:val="auto"/>
        </w:rPr>
        <w:t>&gt;&gt;</w:t>
      </w:r>
      <w:r w:rsidRPr="00A038B5">
        <w:rPr>
          <w:rFonts w:ascii="Century Gothic" w:hAnsi="Century Gothic"/>
        </w:rPr>
        <w:t>.</w:t>
      </w:r>
    </w:p>
    <w:p w14:paraId="2FCBA773" w14:textId="77777777" w:rsidR="00A038B5" w:rsidRPr="00A038B5" w:rsidRDefault="00A038B5" w:rsidP="00A038B5">
      <w:pPr>
        <w:pStyle w:val="standard"/>
        <w:rPr>
          <w:rFonts w:ascii="Century Gothic" w:hAnsi="Century Gothic"/>
          <w:color w:val="auto"/>
        </w:rPr>
      </w:pPr>
      <w:r w:rsidRPr="00A038B5">
        <w:rPr>
          <w:rStyle w:val="option"/>
          <w:rFonts w:ascii="Century Gothic" w:hAnsi="Century Gothic"/>
          <w:color w:val="auto"/>
          <w:highlight w:val="yellow"/>
        </w:rPr>
        <w:t>OU</w:t>
      </w:r>
    </w:p>
    <w:p w14:paraId="32E3B2AE" w14:textId="3C5599BE" w:rsidR="00A038B5" w:rsidRDefault="00A038B5" w:rsidP="00A038B5">
      <w:pPr>
        <w:pStyle w:val="dTxTdivrBoxulli1"/>
        <w:rPr>
          <w:rFonts w:ascii="Century Gothic" w:hAnsi="Century Gothic"/>
        </w:rPr>
      </w:pPr>
      <w:r w:rsidRPr="00A038B5">
        <w:rPr>
          <w:rFonts w:ascii="Century Gothic" w:hAnsi="Century Gothic"/>
        </w:rPr>
        <w:t xml:space="preserve">— au personnel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citenClspan"/>
          <w:rFonts w:ascii="Century Gothic" w:hAnsi="Century Gothic"/>
          <w:color w:val="auto"/>
        </w:rPr>
        <w:t xml:space="preserve"> employés, techniciens et agents de maîtrise, cadres</w:t>
      </w:r>
      <w:r w:rsidRPr="00A038B5">
        <w:rPr>
          <w:rStyle w:val="hintinput"/>
          <w:rFonts w:ascii="Century Gothic" w:hAnsi="Century Gothic"/>
          <w:color w:val="auto"/>
        </w:rPr>
        <w:t>&gt;&gt;</w:t>
      </w:r>
      <w:r w:rsidRPr="00A038B5">
        <w:rPr>
          <w:rFonts w:ascii="Century Gothic" w:hAnsi="Century Gothic"/>
        </w:rPr>
        <w:t xml:space="preserve">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citenClspan"/>
          <w:rFonts w:ascii="Century Gothic" w:hAnsi="Century Gothic"/>
          <w:color w:val="auto"/>
        </w:rPr>
        <w:t xml:space="preserve">de </w:t>
      </w:r>
      <w:r>
        <w:rPr>
          <w:rStyle w:val="citenClspan"/>
          <w:rFonts w:ascii="Century Gothic" w:hAnsi="Century Gothic"/>
          <w:color w:val="auto"/>
        </w:rPr>
        <w:t>l’OGEC</w:t>
      </w:r>
      <w:r w:rsidRPr="00A038B5">
        <w:rPr>
          <w:rStyle w:val="citenClspan"/>
          <w:rFonts w:ascii="Century Gothic" w:hAnsi="Century Gothic"/>
          <w:color w:val="auto"/>
        </w:rPr>
        <w:t>, de l'établissement ou des établissements</w:t>
      </w:r>
      <w:r w:rsidR="00C21DC9">
        <w:rPr>
          <w:rFonts w:ascii="Century Gothic" w:hAnsi="Century Gothic"/>
        </w:rPr>
        <w:t> ; l</w:t>
      </w:r>
      <w:r w:rsidR="00C21DC9">
        <w:rPr>
          <w:rFonts w:ascii="Century Gothic" w:hAnsi="Century Gothic"/>
        </w:rPr>
        <w:t xml:space="preserve">a question de l’application au Chef d’établissement de l’accord est à traiter : </w:t>
      </w:r>
      <w:r w:rsidR="00C21DC9" w:rsidRPr="00C21DC9">
        <w:rPr>
          <w:rFonts w:ascii="Century Gothic" w:hAnsi="Century Gothic"/>
          <w:i/>
          <w:iCs/>
        </w:rPr>
        <w:t>une mention</w:t>
      </w:r>
      <w:r w:rsidR="00C21DC9">
        <w:rPr>
          <w:rFonts w:ascii="Century Gothic" w:hAnsi="Century Gothic"/>
          <w:i/>
          <w:iCs/>
        </w:rPr>
        <w:t xml:space="preserve"> d’exclusion peut être prévue : </w:t>
      </w:r>
      <w:r w:rsidR="00C21DC9" w:rsidRPr="00C21DC9">
        <w:rPr>
          <w:rFonts w:ascii="Century Gothic" w:hAnsi="Century Gothic"/>
          <w:i/>
          <w:iCs/>
        </w:rPr>
        <w:t xml:space="preserve"> à l’exception des salariés</w:t>
      </w:r>
      <w:r w:rsidR="00C21DC9">
        <w:rPr>
          <w:rFonts w:ascii="Century Gothic" w:hAnsi="Century Gothic"/>
          <w:i/>
          <w:iCs/>
        </w:rPr>
        <w:t xml:space="preserve"> sous statut</w:t>
      </w:r>
      <w:r w:rsidR="00C21DC9" w:rsidRPr="00A038B5">
        <w:rPr>
          <w:rStyle w:val="hintinput"/>
          <w:rFonts w:ascii="Century Gothic" w:hAnsi="Century Gothic"/>
          <w:color w:val="auto"/>
        </w:rPr>
        <w:t xml:space="preserve"> </w:t>
      </w:r>
      <w:r w:rsidRPr="00A038B5">
        <w:rPr>
          <w:rStyle w:val="hintinput"/>
          <w:rFonts w:ascii="Century Gothic" w:hAnsi="Century Gothic"/>
          <w:color w:val="auto"/>
        </w:rPr>
        <w:t>&gt;&gt;</w:t>
      </w:r>
      <w:r w:rsidRPr="00A038B5">
        <w:rPr>
          <w:rFonts w:ascii="Century Gothic" w:hAnsi="Century Gothic"/>
        </w:rPr>
        <w:t>.</w:t>
      </w:r>
    </w:p>
    <w:p w14:paraId="24CD1D51" w14:textId="6E44EAA0" w:rsidR="00C21DC9" w:rsidRPr="00A038B5" w:rsidRDefault="00C21DC9" w:rsidP="00A038B5">
      <w:pPr>
        <w:pStyle w:val="dTxTdivrBoxulli1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.</w:t>
      </w:r>
      <w:r>
        <w:rPr>
          <w:rFonts w:ascii="Century Gothic" w:hAnsi="Century Gothic"/>
        </w:rPr>
        <w:t xml:space="preserve"> </w:t>
      </w:r>
    </w:p>
    <w:p w14:paraId="644A971F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...Fin variante...</w:t>
      </w:r>
    </w:p>
    <w:p w14:paraId="1C947F45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2. Portée de l'accord</w:t>
      </w:r>
    </w:p>
    <w:p w14:paraId="07E328FA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Le présent accord est conclu dans le cadre des </w:t>
      </w:r>
      <w:r w:rsidRPr="00A038B5">
        <w:rPr>
          <w:rStyle w:val="spanPCa"/>
          <w:rFonts w:ascii="Century Gothic" w:hAnsi="Century Gothic"/>
          <w:color w:val="auto"/>
          <w:shd w:val="clear" w:color="auto" w:fill="auto"/>
        </w:rPr>
        <w:t>articles L. 2232-11 et suivants du code du travail</w:t>
      </w:r>
      <w:r w:rsidRPr="00A038B5">
        <w:rPr>
          <w:rFonts w:ascii="Century Gothic" w:hAnsi="Century Gothic"/>
          <w:color w:val="auto"/>
        </w:rPr>
        <w:t>.</w:t>
      </w:r>
    </w:p>
    <w:p w14:paraId="30A7A70F" w14:textId="5D16CBD5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L'ensemble des dispositions du présent accord complète celles de la convention collective </w:t>
      </w:r>
      <w:r>
        <w:rPr>
          <w:rFonts w:ascii="Century Gothic" w:hAnsi="Century Gothic"/>
          <w:color w:val="auto"/>
        </w:rPr>
        <w:t>EPNL</w:t>
      </w:r>
      <w:r w:rsidRPr="00A038B5">
        <w:rPr>
          <w:rFonts w:ascii="Century Gothic" w:hAnsi="Century Gothic"/>
          <w:color w:val="auto"/>
        </w:rPr>
        <w:t>.</w:t>
      </w:r>
    </w:p>
    <w:p w14:paraId="2AC0B2AF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...Début variante...</w:t>
      </w:r>
    </w:p>
    <w:p w14:paraId="3D939AF2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>Si des dispositions légales réglementaires ou conventionnelles actuelles ou futures devaient être plus avantageuses, elles seraient appliquées à la place du présent accord. Si ces dispositions étaient moins avantageuses, les dispositions du présent accord continueraient d'être appliquées dans les conditions qu'il prévoit.</w:t>
      </w:r>
    </w:p>
    <w:p w14:paraId="62AC18AB" w14:textId="77777777" w:rsidR="00A038B5" w:rsidRPr="00A038B5" w:rsidRDefault="00A038B5" w:rsidP="00A038B5">
      <w:pPr>
        <w:pStyle w:val="standard"/>
        <w:rPr>
          <w:rFonts w:ascii="Century Gothic" w:hAnsi="Century Gothic"/>
          <w:color w:val="auto"/>
        </w:rPr>
      </w:pPr>
      <w:r w:rsidRPr="00A038B5">
        <w:rPr>
          <w:rStyle w:val="option"/>
          <w:rFonts w:ascii="Century Gothic" w:hAnsi="Century Gothic"/>
          <w:color w:val="auto"/>
          <w:highlight w:val="yellow"/>
        </w:rPr>
        <w:t>OU</w:t>
      </w:r>
    </w:p>
    <w:p w14:paraId="7F3B4164" w14:textId="5F24C58D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 xml:space="preserve">L'ensemble des dispositions </w:t>
      </w:r>
      <w:r w:rsidRPr="00A038B5">
        <w:rPr>
          <w:rStyle w:val="options"/>
          <w:rFonts w:ascii="Century Gothic" w:hAnsi="Century Gothic"/>
          <w:color w:val="auto"/>
        </w:rPr>
        <w:t>du présent accord</w:t>
      </w:r>
      <w:r w:rsidRPr="00A038B5">
        <w:rPr>
          <w:rStyle w:val="optiono"/>
          <w:rFonts w:ascii="Century Gothic" w:hAnsi="Century Gothic"/>
          <w:color w:val="auto"/>
        </w:rPr>
        <w:t xml:space="preserve"> (ou </w:t>
      </w:r>
      <w:r w:rsidRPr="00A038B5">
        <w:rPr>
          <w:rStyle w:val="options"/>
          <w:rFonts w:ascii="Century Gothic" w:hAnsi="Century Gothic"/>
          <w:color w:val="auto"/>
        </w:rPr>
        <w:t xml:space="preserve">des articles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Style w:val="options"/>
          <w:rFonts w:ascii="Century Gothic" w:hAnsi="Century Gothic"/>
          <w:color w:val="auto"/>
        </w:rPr>
        <w:t xml:space="preserve"> du présent accord</w:t>
      </w:r>
      <w:r w:rsidRPr="00A038B5">
        <w:rPr>
          <w:rStyle w:val="optiono"/>
          <w:rFonts w:ascii="Century Gothic" w:hAnsi="Century Gothic"/>
          <w:color w:val="auto"/>
        </w:rPr>
        <w:t>)</w:t>
      </w:r>
      <w:r w:rsidRPr="00A038B5">
        <w:rPr>
          <w:rFonts w:ascii="Century Gothic" w:hAnsi="Century Gothic"/>
        </w:rPr>
        <w:t xml:space="preserve"> se substitue à celles </w:t>
      </w:r>
      <w:r w:rsidRPr="00A038B5">
        <w:rPr>
          <w:rStyle w:val="options"/>
          <w:rFonts w:ascii="Century Gothic" w:hAnsi="Century Gothic"/>
          <w:color w:val="auto"/>
        </w:rPr>
        <w:t xml:space="preserve">de la convention collective </w:t>
      </w:r>
      <w:r>
        <w:rPr>
          <w:rStyle w:val="options"/>
          <w:rFonts w:ascii="Century Gothic" w:hAnsi="Century Gothic"/>
          <w:color w:val="auto"/>
        </w:rPr>
        <w:t xml:space="preserve">EPNL </w:t>
      </w:r>
      <w:r w:rsidRPr="00A038B5">
        <w:rPr>
          <w:rStyle w:val="optiono"/>
          <w:rFonts w:ascii="Century Gothic" w:hAnsi="Century Gothic"/>
          <w:color w:val="auto"/>
        </w:rPr>
        <w:t xml:space="preserve">(ou </w:t>
      </w:r>
      <w:r w:rsidRPr="00A038B5">
        <w:rPr>
          <w:rStyle w:val="options"/>
          <w:rFonts w:ascii="Century Gothic" w:hAnsi="Century Gothic"/>
          <w:color w:val="auto"/>
        </w:rPr>
        <w:t xml:space="preserve">des articles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Style w:val="options"/>
          <w:rFonts w:ascii="Century Gothic" w:hAnsi="Century Gothic"/>
          <w:color w:val="auto"/>
        </w:rPr>
        <w:t xml:space="preserve"> de la convention collective </w:t>
      </w:r>
      <w:r>
        <w:rPr>
          <w:rStyle w:val="options"/>
          <w:rFonts w:ascii="Century Gothic" w:hAnsi="Century Gothic"/>
          <w:color w:val="auto"/>
        </w:rPr>
        <w:t>EPNL</w:t>
      </w:r>
      <w:r w:rsidRPr="00A038B5">
        <w:rPr>
          <w:rStyle w:val="optiono"/>
          <w:rFonts w:ascii="Century Gothic" w:hAnsi="Century Gothic"/>
          <w:color w:val="auto"/>
        </w:rPr>
        <w:t>)</w:t>
      </w:r>
      <w:r w:rsidRPr="00A038B5">
        <w:rPr>
          <w:rFonts w:ascii="Century Gothic" w:hAnsi="Century Gothic"/>
        </w:rPr>
        <w:t>.</w:t>
      </w:r>
    </w:p>
    <w:p w14:paraId="1F48A166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Style w:val="eventualmente"/>
          <w:rFonts w:ascii="Century Gothic" w:hAnsi="Century Gothic"/>
          <w:color w:val="auto"/>
        </w:rPr>
        <w:t xml:space="preserve">(Eventuellement : </w:t>
      </w:r>
      <w:r w:rsidRPr="00A038B5">
        <w:rPr>
          <w:rFonts w:ascii="Century Gothic" w:hAnsi="Century Gothic"/>
        </w:rPr>
        <w:t xml:space="preserve">Cet accord annule les règles et accords existant antérieurement :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Fonts w:ascii="Century Gothic" w:hAnsi="Century Gothic"/>
        </w:rPr>
        <w:t>énumérer les règles et accords</w:t>
      </w:r>
      <w:r w:rsidRPr="00A038B5">
        <w:rPr>
          <w:rStyle w:val="hintinput"/>
          <w:rFonts w:ascii="Century Gothic" w:hAnsi="Century Gothic"/>
          <w:color w:val="auto"/>
        </w:rPr>
        <w:t>&gt;&gt;</w:t>
      </w:r>
      <w:r w:rsidRPr="00A038B5">
        <w:rPr>
          <w:rStyle w:val="eventualmente"/>
          <w:rFonts w:ascii="Century Gothic" w:hAnsi="Century Gothic"/>
          <w:color w:val="auto"/>
        </w:rPr>
        <w:t>)</w:t>
      </w:r>
      <w:r w:rsidRPr="00A038B5">
        <w:rPr>
          <w:rFonts w:ascii="Century Gothic" w:hAnsi="Century Gothic"/>
        </w:rPr>
        <w:t>.</w:t>
      </w:r>
    </w:p>
    <w:p w14:paraId="40649A80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...Fin variante...</w:t>
      </w:r>
    </w:p>
    <w:p w14:paraId="6E87EF2C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lastRenderedPageBreak/>
        <w:t>Seuls subsistent les avantages individuels attribués par un contrat de travail qui ne relèveraient pas du statut collectif et qui ne seraient pas en contradiction avec celui-ci.</w:t>
      </w:r>
    </w:p>
    <w:p w14:paraId="6FEF608B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3. Durée de l'accord</w:t>
      </w:r>
    </w:p>
    <w:p w14:paraId="4D57B48C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...Début variante...</w:t>
      </w:r>
    </w:p>
    <w:p w14:paraId="38B64909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>Le présent accord est conclu pour une période d'un an, à compter de la date de la signature.</w:t>
      </w:r>
    </w:p>
    <w:p w14:paraId="441CA082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>Il se reconduira tacitement d'année en année, sauf dénonciation selon les modalités prévues à l'article 7.</w:t>
      </w:r>
    </w:p>
    <w:p w14:paraId="19466496" w14:textId="77777777" w:rsidR="00A038B5" w:rsidRPr="00A038B5" w:rsidRDefault="00A038B5" w:rsidP="00A038B5">
      <w:pPr>
        <w:pStyle w:val="standard"/>
        <w:rPr>
          <w:rFonts w:ascii="Century Gothic" w:hAnsi="Century Gothic"/>
          <w:color w:val="auto"/>
        </w:rPr>
      </w:pPr>
      <w:r w:rsidRPr="00A038B5">
        <w:rPr>
          <w:rStyle w:val="option"/>
          <w:rFonts w:ascii="Century Gothic" w:hAnsi="Century Gothic"/>
          <w:color w:val="auto"/>
          <w:highlight w:val="yellow"/>
        </w:rPr>
        <w:t>OU</w:t>
      </w:r>
    </w:p>
    <w:p w14:paraId="3C8D7B4D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>Le présent accord est conclu pour une durée indéterminée.</w:t>
      </w:r>
    </w:p>
    <w:p w14:paraId="1AC00447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>Il pourra être dénoncé dans les conditions prévues à l'article 7.</w:t>
      </w:r>
    </w:p>
    <w:p w14:paraId="5370E053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...Fin variante...</w:t>
      </w:r>
    </w:p>
    <w:p w14:paraId="2C5AA366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4. Suivi de l'accord</w:t>
      </w:r>
    </w:p>
    <w:p w14:paraId="2C3B5254" w14:textId="58CC17C2" w:rsid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Un bilan quantitatif et qualitatif de l'application de l'accord sera établi à la fin de la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citenClspan"/>
          <w:rFonts w:ascii="Century Gothic" w:hAnsi="Century Gothic"/>
          <w:color w:val="auto"/>
        </w:rPr>
        <w:t>première ou seconde</w:t>
      </w:r>
      <w:r w:rsidRPr="00A038B5">
        <w:rPr>
          <w:rStyle w:val="hintinput"/>
          <w:rFonts w:ascii="Century Gothic" w:hAnsi="Century Gothic"/>
          <w:color w:val="auto"/>
        </w:rPr>
        <w:t>&gt;&gt;</w:t>
      </w:r>
      <w:r w:rsidRPr="00A038B5">
        <w:rPr>
          <w:rFonts w:ascii="Century Gothic" w:hAnsi="Century Gothic"/>
          <w:color w:val="auto"/>
        </w:rPr>
        <w:t xml:space="preserve"> année de mise en place de la nouvelle organisation du travail et </w:t>
      </w:r>
      <w:r w:rsidRPr="00A038B5">
        <w:rPr>
          <w:rStyle w:val="options"/>
          <w:rFonts w:ascii="Century Gothic" w:hAnsi="Century Gothic"/>
          <w:color w:val="auto"/>
        </w:rPr>
        <w:t>sera mis à dispositions dans la BDESE</w:t>
      </w:r>
      <w:r w:rsidRPr="00A038B5">
        <w:rPr>
          <w:rStyle w:val="optiono"/>
          <w:rFonts w:ascii="Century Gothic" w:hAnsi="Century Gothic"/>
          <w:color w:val="auto"/>
        </w:rPr>
        <w:t xml:space="preserve"> (ou </w:t>
      </w:r>
      <w:r w:rsidRPr="00A038B5">
        <w:rPr>
          <w:rStyle w:val="options"/>
          <w:rFonts w:ascii="Century Gothic" w:hAnsi="Century Gothic"/>
          <w:color w:val="auto"/>
        </w:rPr>
        <w:t>soumis aux représentants du personnel ainsi qu'aux parties à la négociation du présent accord</w:t>
      </w:r>
      <w:r w:rsidRPr="00A038B5">
        <w:rPr>
          <w:rStyle w:val="optiono"/>
          <w:rFonts w:ascii="Century Gothic" w:hAnsi="Century Gothic"/>
          <w:color w:val="auto"/>
        </w:rPr>
        <w:t>)</w:t>
      </w:r>
      <w:r w:rsidRPr="00A038B5">
        <w:rPr>
          <w:rFonts w:ascii="Century Gothic" w:hAnsi="Century Gothic"/>
          <w:color w:val="auto"/>
        </w:rPr>
        <w:t>.</w:t>
      </w:r>
    </w:p>
    <w:p w14:paraId="28B85FD2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</w:p>
    <w:p w14:paraId="7AD224EC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5. Adhésion</w:t>
      </w:r>
    </w:p>
    <w:p w14:paraId="6ADF6BB7" w14:textId="548F263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Conformément à l'</w:t>
      </w:r>
      <w:r w:rsidRPr="00A038B5">
        <w:rPr>
          <w:rStyle w:val="spanPCa"/>
          <w:rFonts w:ascii="Century Gothic" w:hAnsi="Century Gothic"/>
          <w:color w:val="auto"/>
          <w:shd w:val="clear" w:color="auto" w:fill="auto"/>
        </w:rPr>
        <w:t>article L. 2261-3 du code du travail</w:t>
      </w:r>
      <w:r w:rsidRPr="00A038B5">
        <w:rPr>
          <w:rFonts w:ascii="Century Gothic" w:hAnsi="Century Gothic"/>
          <w:color w:val="auto"/>
        </w:rPr>
        <w:t xml:space="preserve">, toute organisation syndicale de salariés représentative dans </w:t>
      </w:r>
      <w:r>
        <w:rPr>
          <w:rFonts w:ascii="Century Gothic" w:hAnsi="Century Gothic"/>
          <w:color w:val="auto"/>
        </w:rPr>
        <w:t>l’OGEC</w:t>
      </w:r>
      <w:r w:rsidRPr="00A038B5">
        <w:rPr>
          <w:rFonts w:ascii="Century Gothic" w:hAnsi="Century Gothic"/>
          <w:color w:val="auto"/>
        </w:rPr>
        <w:t>, qui n'est pas signataire du présent accord, pourra y adhérer ultérieurement.</w:t>
      </w:r>
    </w:p>
    <w:p w14:paraId="18344099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L'adhésion produira effet à partir du jour qui suivra celui de son dépôt au secrétariat du greffe du conseil de prud'hommes compétent et à la DREETS.</w:t>
      </w:r>
    </w:p>
    <w:p w14:paraId="279EDD77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Notification devra également en être faite, dans le délai de huit jours, par lettre recommandée, aux parties signataires.</w:t>
      </w:r>
    </w:p>
    <w:p w14:paraId="14A2D455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6. Interprétation de l'accord</w:t>
      </w:r>
    </w:p>
    <w:p w14:paraId="45B879E6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Les représentants de chacune des parties signataires conviennent de se rencontrer à la requête de la partie la plus diligente, dans les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> jours suivant la demande pour étudier et tenter de régler tout différend d'ordre individuel ou collectif né de l'application du présent accord.</w:t>
      </w:r>
    </w:p>
    <w:p w14:paraId="51294F29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La demande de réunion consigne l'exposé précis du différend. La position retenue en fin de réunion fait l'objet d'un procès-verbal rédigé par la Direction. Le document est remis à chacune des parties signataires.</w:t>
      </w:r>
    </w:p>
    <w:p w14:paraId="38CEB33C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Si cela est nécessaire, une seconde réunion pourra être organisée dans les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> jours suivant la première réunion.</w:t>
      </w:r>
    </w:p>
    <w:p w14:paraId="6CBEC861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Jusqu'à l'expiration de ces délais, les parties contractantes s'engagent à ne susciter aucune forme d'action contentieuse liée au différend faisant l'objet de cette procédure.</w:t>
      </w:r>
    </w:p>
    <w:p w14:paraId="6E1A2B4B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7. Revoyure et révision de l'accord</w:t>
      </w:r>
    </w:p>
    <w:p w14:paraId="7CFBD866" w14:textId="12B9FBA0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En tout état de cause, les organisations signataires s'accordent sur le principe d'une revoyure au terme d'une période de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citenClspan"/>
          <w:rFonts w:ascii="Century Gothic" w:hAnsi="Century Gothic"/>
          <w:color w:val="auto"/>
        </w:rPr>
        <w:t>3</w:t>
      </w:r>
      <w:r w:rsidRPr="00A038B5">
        <w:rPr>
          <w:rStyle w:val="hintinput"/>
          <w:rFonts w:ascii="Century Gothic" w:hAnsi="Century Gothic"/>
          <w:color w:val="auto"/>
        </w:rPr>
        <w:t>&gt;&gt;</w:t>
      </w:r>
      <w:r w:rsidRPr="00A038B5">
        <w:rPr>
          <w:rFonts w:ascii="Century Gothic" w:hAnsi="Century Gothic"/>
          <w:color w:val="auto"/>
        </w:rPr>
        <w:t xml:space="preserve"> ans d'application de l'accord pour envisager, au regard des </w:t>
      </w:r>
      <w:r w:rsidRPr="00A038B5">
        <w:rPr>
          <w:rFonts w:ascii="Century Gothic" w:hAnsi="Century Gothic"/>
          <w:color w:val="auto"/>
        </w:rPr>
        <w:lastRenderedPageBreak/>
        <w:t xml:space="preserve">éléments bilantiels produits en application des dispositions de l'article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>.</w:t>
      </w:r>
      <w:r>
        <w:rPr>
          <w:rFonts w:ascii="Century Gothic" w:hAnsi="Century Gothic"/>
          <w:color w:val="auto"/>
        </w:rPr>
        <w:t xml:space="preserve"> </w:t>
      </w:r>
      <w:proofErr w:type="gramStart"/>
      <w:r w:rsidRPr="00A038B5">
        <w:rPr>
          <w:rFonts w:ascii="Century Gothic" w:hAnsi="Century Gothic"/>
          <w:color w:val="auto"/>
        </w:rPr>
        <w:t>Toute</w:t>
      </w:r>
      <w:proofErr w:type="gramEnd"/>
      <w:r w:rsidRPr="00A038B5">
        <w:rPr>
          <w:rFonts w:ascii="Century Gothic" w:hAnsi="Century Gothic"/>
          <w:color w:val="auto"/>
        </w:rPr>
        <w:t xml:space="preserve"> disposition modifiant le statut du personnel tel qu'il résulte de la présente convention et qui ferait l'objet d'un accord entre les parties signataires donnera lieu à l'établissement d'un avenant au présent accord.</w:t>
      </w:r>
    </w:p>
    <w:p w14:paraId="64A9C081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8. Dénonciation de l'accord</w:t>
      </w:r>
    </w:p>
    <w:p w14:paraId="5F4B1404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...Début variante...</w:t>
      </w:r>
    </w:p>
    <w:p w14:paraId="5E4BC0A8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 xml:space="preserve">L'accord et ses avenants éventuels peuvent être dénoncés par l'une ou l'autre des parties signataires avec un préavis de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</w:rPr>
        <w:t> mois, avant l'expiration de chaque période annuelle sur notification écrite par lettre recommandée avec accusé de réception à l'autre partie.</w:t>
      </w:r>
    </w:p>
    <w:p w14:paraId="1B2AD9C1" w14:textId="77777777" w:rsidR="00A038B5" w:rsidRPr="00A038B5" w:rsidRDefault="00A038B5" w:rsidP="00A038B5">
      <w:pPr>
        <w:pStyle w:val="standard"/>
        <w:rPr>
          <w:rFonts w:ascii="Century Gothic" w:hAnsi="Century Gothic"/>
          <w:color w:val="auto"/>
        </w:rPr>
      </w:pPr>
      <w:r w:rsidRPr="00A038B5">
        <w:rPr>
          <w:rStyle w:val="option"/>
          <w:rFonts w:ascii="Century Gothic" w:hAnsi="Century Gothic"/>
          <w:color w:val="auto"/>
          <w:highlight w:val="yellow"/>
        </w:rPr>
        <w:t>OU</w:t>
      </w:r>
    </w:p>
    <w:p w14:paraId="55F08A18" w14:textId="77777777" w:rsidR="00A038B5" w:rsidRPr="00A038B5" w:rsidRDefault="00A038B5" w:rsidP="00A038B5">
      <w:pPr>
        <w:pStyle w:val="dTxTdivrBoxp"/>
        <w:rPr>
          <w:rFonts w:ascii="Century Gothic" w:hAnsi="Century Gothic"/>
        </w:rPr>
      </w:pPr>
      <w:r w:rsidRPr="00A038B5">
        <w:rPr>
          <w:rFonts w:ascii="Century Gothic" w:hAnsi="Century Gothic"/>
        </w:rPr>
        <w:t xml:space="preserve">Le présent accord, conclu sans limitation de durée, pourra être dénoncé à tout moment par l'une ou l'autre des parties signataires sous réserve de respecter un préavis de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</w:rPr>
        <w:t> mois.</w:t>
      </w:r>
    </w:p>
    <w:p w14:paraId="07EE916A" w14:textId="77777777" w:rsidR="00A038B5" w:rsidRPr="00A038B5" w:rsidRDefault="00A038B5" w:rsidP="00A038B5">
      <w:pPr>
        <w:pStyle w:val="dTxTdivrGroup"/>
        <w:rPr>
          <w:rFonts w:ascii="Century Gothic" w:hAnsi="Century Gothic"/>
        </w:rPr>
      </w:pPr>
      <w:r w:rsidRPr="00A038B5">
        <w:rPr>
          <w:rFonts w:ascii="Century Gothic" w:hAnsi="Century Gothic"/>
          <w:highlight w:val="yellow"/>
        </w:rPr>
        <w:t>...Fin variante...</w:t>
      </w:r>
    </w:p>
    <w:p w14:paraId="664D490D" w14:textId="77777777" w:rsidR="00A038B5" w:rsidRPr="00A038B5" w:rsidRDefault="00A038B5" w:rsidP="00A038B5">
      <w:pPr>
        <w:pStyle w:val="dTxTpd1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>Article 9. Dépôt légal</w:t>
      </w:r>
    </w:p>
    <w:p w14:paraId="3DF864BE" w14:textId="77777777" w:rsidR="00A038B5" w:rsidRPr="00A038B5" w:rsidRDefault="00A038B5" w:rsidP="00A038B5">
      <w:pPr>
        <w:pStyle w:val="dTx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Le présent accord sera déposé auprès de la Direction départementale du travail et de l'emploi de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 xml:space="preserve"> et du secrétariat du greffe du conseil des prud'hommes de </w:t>
      </w:r>
      <w:r w:rsidRPr="00A038B5">
        <w:rPr>
          <w:rStyle w:val="hintinput"/>
          <w:rFonts w:ascii="Century Gothic" w:hAnsi="Century Gothic"/>
          <w:color w:val="auto"/>
        </w:rPr>
        <w:t>&lt;&lt;&gt;&gt;</w:t>
      </w:r>
      <w:r w:rsidRPr="00A038B5">
        <w:rPr>
          <w:rFonts w:ascii="Century Gothic" w:hAnsi="Century Gothic"/>
          <w:color w:val="auto"/>
        </w:rPr>
        <w:t>.</w:t>
      </w:r>
    </w:p>
    <w:p w14:paraId="7D3DB1E0" w14:textId="77777777" w:rsidR="00A038B5" w:rsidRPr="00A038B5" w:rsidRDefault="00A038B5" w:rsidP="00A038B5">
      <w:pPr>
        <w:pStyle w:val="dTxTdivopt"/>
        <w:rPr>
          <w:rFonts w:ascii="Century Gothic" w:hAnsi="Century Gothic"/>
        </w:rPr>
      </w:pPr>
      <w:r w:rsidRPr="00A038B5">
        <w:rPr>
          <w:rStyle w:val="checkbox"/>
          <w:rFonts w:ascii="Century Gothic" w:hAnsi="Century Gothic"/>
          <w:highlight w:val="yellow"/>
        </w:rPr>
        <w:t>...Début complément...</w:t>
      </w:r>
    </w:p>
    <w:p w14:paraId="42DDCAF2" w14:textId="77777777" w:rsidR="00A038B5" w:rsidRPr="00A038B5" w:rsidRDefault="00A038B5" w:rsidP="00A038B5">
      <w:pPr>
        <w:pStyle w:val="dTxTdivoptdivhDescp"/>
        <w:rPr>
          <w:rFonts w:ascii="Century Gothic" w:hAnsi="Century Gothic"/>
        </w:rPr>
      </w:pPr>
      <w:r w:rsidRPr="00A038B5">
        <w:rPr>
          <w:rFonts w:ascii="Century Gothic" w:hAnsi="Century Gothic"/>
        </w:rPr>
        <w:t>(Le cas échéant)</w:t>
      </w:r>
    </w:p>
    <w:p w14:paraId="51BF8765" w14:textId="77777777" w:rsidR="00A038B5" w:rsidRPr="00A038B5" w:rsidRDefault="00A038B5" w:rsidP="00A038B5">
      <w:pPr>
        <w:pStyle w:val="dTxTdivopt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Cet accord est versé dans la base de données prévues à </w:t>
      </w:r>
      <w:r w:rsidRPr="00A038B5">
        <w:rPr>
          <w:rStyle w:val="a"/>
          <w:rFonts w:ascii="Century Gothic" w:hAnsi="Century Gothic"/>
          <w:color w:val="auto"/>
        </w:rPr>
        <w:t>l'article L. 2231-5-1 du code du travail</w:t>
      </w:r>
      <w:r w:rsidRPr="00A038B5">
        <w:rPr>
          <w:rFonts w:ascii="Century Gothic" w:hAnsi="Century Gothic"/>
          <w:color w:val="auto"/>
        </w:rPr>
        <w:t xml:space="preserve"> pour sa diffusion au plus grand nombre.</w:t>
      </w:r>
    </w:p>
    <w:p w14:paraId="3BBA1398" w14:textId="77777777" w:rsidR="00A038B5" w:rsidRPr="00A038B5" w:rsidRDefault="00A038B5" w:rsidP="00A038B5">
      <w:pPr>
        <w:pStyle w:val="dTxTdivopt"/>
        <w:rPr>
          <w:rFonts w:ascii="Century Gothic" w:hAnsi="Century Gothic"/>
        </w:rPr>
      </w:pPr>
      <w:r w:rsidRPr="00A038B5">
        <w:rPr>
          <w:rStyle w:val="checkbox"/>
          <w:rFonts w:ascii="Century Gothic" w:hAnsi="Century Gothic"/>
          <w:highlight w:val="yellow"/>
        </w:rPr>
        <w:t>...Fin complément...</w:t>
      </w:r>
    </w:p>
    <w:p w14:paraId="6C8E8941" w14:textId="77777777" w:rsidR="00A038B5" w:rsidRPr="00A038B5" w:rsidRDefault="00A038B5" w:rsidP="00A038B5">
      <w:pPr>
        <w:pStyle w:val="psigns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  <w:highlight w:val="yellow"/>
        </w:rPr>
        <w:t>SIGNATURE(S) :</w:t>
      </w:r>
    </w:p>
    <w:p w14:paraId="3334770E" w14:textId="77777777" w:rsidR="00A038B5" w:rsidRPr="00A038B5" w:rsidRDefault="00A038B5" w:rsidP="00A038B5">
      <w:pPr>
        <w:pStyle w:val="dTxTdivdateplace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  <w:highlight w:val="yellow"/>
        </w:rPr>
        <w:t>EMISSION :</w:t>
      </w:r>
    </w:p>
    <w:p w14:paraId="7EC8120C" w14:textId="77777777" w:rsidR="00A038B5" w:rsidRPr="00A038B5" w:rsidRDefault="00A038B5" w:rsidP="00A038B5">
      <w:pPr>
        <w:pStyle w:val="dTxTdivdateplace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Fait à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dTxTdivsignsdivdateplacepcitenClspan"/>
          <w:rFonts w:ascii="Century Gothic" w:hAnsi="Century Gothic"/>
          <w:color w:val="auto"/>
        </w:rPr>
        <w:t>lieu</w:t>
      </w:r>
      <w:r w:rsidRPr="00A038B5">
        <w:rPr>
          <w:rStyle w:val="hintinput"/>
          <w:rFonts w:ascii="Century Gothic" w:hAnsi="Century Gothic"/>
          <w:color w:val="auto"/>
        </w:rPr>
        <w:t>&gt;&gt;</w:t>
      </w:r>
    </w:p>
    <w:p w14:paraId="5C695EE1" w14:textId="77777777" w:rsidR="00A038B5" w:rsidRPr="00A038B5" w:rsidRDefault="00A038B5" w:rsidP="00A038B5">
      <w:pPr>
        <w:pStyle w:val="dTxTdivdateplacep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</w:rPr>
        <w:t xml:space="preserve">Le </w:t>
      </w: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dTxTdivsignsdivdateplacepcitenClspan"/>
          <w:rFonts w:ascii="Century Gothic" w:hAnsi="Century Gothic"/>
          <w:color w:val="auto"/>
        </w:rPr>
        <w:t>date</w:t>
      </w:r>
      <w:r w:rsidRPr="00A038B5">
        <w:rPr>
          <w:rStyle w:val="hintinput"/>
          <w:rFonts w:ascii="Century Gothic" w:hAnsi="Century Gothic"/>
          <w:color w:val="auto"/>
        </w:rPr>
        <w:t>&gt;&gt;</w:t>
      </w:r>
    </w:p>
    <w:p w14:paraId="5169B5C7" w14:textId="77777777" w:rsidR="00A038B5" w:rsidRPr="00A038B5" w:rsidRDefault="00A038B5" w:rsidP="00A038B5">
      <w:pPr>
        <w:pStyle w:val="psign"/>
        <w:rPr>
          <w:rFonts w:ascii="Century Gothic" w:hAnsi="Century Gothic"/>
          <w:color w:val="auto"/>
        </w:rPr>
      </w:pPr>
      <w:r w:rsidRPr="00A038B5">
        <w:rPr>
          <w:rFonts w:ascii="Century Gothic" w:hAnsi="Century Gothic"/>
          <w:color w:val="auto"/>
          <w:highlight w:val="yellow"/>
        </w:rPr>
        <w:t>SIGNATURE :</w:t>
      </w:r>
    </w:p>
    <w:p w14:paraId="5F6F7D8A" w14:textId="593D9730" w:rsidR="00A038B5" w:rsidRPr="00A038B5" w:rsidRDefault="00A038B5" w:rsidP="00A038B5">
      <w:pPr>
        <w:pStyle w:val="dTxTdivsignp"/>
        <w:rPr>
          <w:rFonts w:ascii="Century Gothic" w:hAnsi="Century Gothic"/>
          <w:color w:val="auto"/>
        </w:rPr>
      </w:pPr>
      <w:r w:rsidRPr="00A038B5">
        <w:rPr>
          <w:rStyle w:val="hintinput"/>
          <w:rFonts w:ascii="Century Gothic" w:hAnsi="Century Gothic"/>
          <w:color w:val="auto"/>
        </w:rPr>
        <w:t>&lt;&lt;</w:t>
      </w:r>
      <w:r w:rsidRPr="00A038B5">
        <w:rPr>
          <w:rStyle w:val="dTxTdivsignsdivsignpcitenClspan"/>
          <w:rFonts w:ascii="Century Gothic" w:hAnsi="Century Gothic"/>
          <w:color w:val="auto"/>
        </w:rPr>
        <w:t>signatures du représentant de l'</w:t>
      </w:r>
      <w:r>
        <w:rPr>
          <w:rStyle w:val="dTxTdivsignsdivsignpcitenClspan"/>
          <w:rFonts w:ascii="Century Gothic" w:hAnsi="Century Gothic"/>
          <w:color w:val="auto"/>
        </w:rPr>
        <w:t>OGEC</w:t>
      </w:r>
      <w:r w:rsidRPr="00A038B5">
        <w:rPr>
          <w:rStyle w:val="dTxTdivsignsdivsignpcitenClspan"/>
          <w:rFonts w:ascii="Century Gothic" w:hAnsi="Century Gothic"/>
          <w:color w:val="auto"/>
        </w:rPr>
        <w:t xml:space="preserve"> et des représentants des organisations syndicales</w:t>
      </w:r>
      <w:r w:rsidRPr="00A038B5">
        <w:rPr>
          <w:rStyle w:val="hintinput"/>
          <w:rFonts w:ascii="Century Gothic" w:hAnsi="Century Gothic"/>
          <w:color w:val="auto"/>
        </w:rPr>
        <w:t>&gt;&gt;</w:t>
      </w:r>
    </w:p>
    <w:p w14:paraId="3BDABAC5" w14:textId="77777777" w:rsidR="00503990" w:rsidRPr="00A038B5" w:rsidRDefault="00503990">
      <w:pPr>
        <w:rPr>
          <w:rFonts w:ascii="Century Gothic" w:hAnsi="Century Gothic"/>
        </w:rPr>
      </w:pPr>
    </w:p>
    <w:sectPr w:rsidR="00503990" w:rsidRPr="00A0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B5"/>
    <w:rsid w:val="00503990"/>
    <w:rsid w:val="00A038B5"/>
    <w:rsid w:val="00C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35B2"/>
  <w15:chartTrackingRefBased/>
  <w15:docId w15:val="{9C6095C7-2485-4E5E-8450-3DD72FC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uiPriority w:val="1"/>
    <w:qFormat/>
    <w:rsid w:val="00A038B5"/>
  </w:style>
  <w:style w:type="paragraph" w:customStyle="1" w:styleId="dTxTemaj">
    <w:name w:val="dTxTemaj"/>
    <w:qFormat/>
    <w:rsid w:val="00A038B5"/>
    <w:pPr>
      <w:spacing w:before="120" w:after="120" w:line="240" w:lineRule="auto"/>
      <w:jc w:val="both"/>
    </w:pPr>
    <w:rPr>
      <w:rFonts w:ascii="Arial Unicode MS" w:eastAsia="Times New Roman" w:hAnsi="Arial Unicode MS" w:cs="Arial Unicode MS"/>
      <w:bCs/>
      <w:color w:val="000000"/>
      <w:sz w:val="20"/>
      <w:szCs w:val="20"/>
      <w:lang w:eastAsia="fr-FR"/>
    </w:rPr>
  </w:style>
  <w:style w:type="paragraph" w:customStyle="1" w:styleId="dTxTp">
    <w:name w:val="dTxTp"/>
    <w:qFormat/>
    <w:rsid w:val="00A038B5"/>
    <w:pPr>
      <w:spacing w:before="120" w:after="120" w:line="240" w:lineRule="auto"/>
      <w:jc w:val="both"/>
    </w:pPr>
    <w:rPr>
      <w:rFonts w:ascii="Arial Unicode MS" w:eastAsia="Times New Roman" w:hAnsi="Arial Unicode MS" w:cs="Arial Unicode MS"/>
      <w:color w:val="000000"/>
      <w:sz w:val="20"/>
      <w:szCs w:val="20"/>
      <w:lang w:eastAsia="fr-FR"/>
    </w:rPr>
  </w:style>
  <w:style w:type="paragraph" w:customStyle="1" w:styleId="dTxTpd1">
    <w:name w:val="dTxTpd1"/>
    <w:qFormat/>
    <w:rsid w:val="00A038B5"/>
    <w:pPr>
      <w:spacing w:after="200" w:line="276" w:lineRule="auto"/>
    </w:pPr>
    <w:rPr>
      <w:rFonts w:ascii="Arial Unicode MS" w:eastAsia="Arial Unicode MS" w:hAnsi="Arial Unicode MS" w:cs="Arial Unicode MS"/>
      <w:b/>
      <w:color w:val="0000FF"/>
      <w:sz w:val="28"/>
      <w:szCs w:val="28"/>
      <w:lang w:eastAsia="fr-FR"/>
    </w:rPr>
  </w:style>
  <w:style w:type="character" w:customStyle="1" w:styleId="hintinput">
    <w:name w:val="hintinput"/>
    <w:qFormat/>
    <w:rsid w:val="00A038B5"/>
    <w:rPr>
      <w:rFonts w:ascii="Arial Unicode MS" w:eastAsia="Times New Roman" w:hAnsi="Arial Unicode MS" w:cs="Arial Unicode MS"/>
      <w:color w:val="0000FF"/>
      <w:lang w:eastAsia="fr-FR"/>
    </w:rPr>
  </w:style>
  <w:style w:type="paragraph" w:customStyle="1" w:styleId="dTxTdivdateplacep">
    <w:name w:val="dTxTdivdateplacep"/>
    <w:qFormat/>
    <w:rsid w:val="00A038B5"/>
    <w:pPr>
      <w:spacing w:after="200" w:line="276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fr-FR"/>
    </w:rPr>
  </w:style>
  <w:style w:type="character" w:customStyle="1" w:styleId="option">
    <w:name w:val="option"/>
    <w:qFormat/>
    <w:rsid w:val="00A038B5"/>
    <w:rPr>
      <w:lang w:eastAsia="fr-FR"/>
    </w:rPr>
  </w:style>
  <w:style w:type="paragraph" w:customStyle="1" w:styleId="dTxTdivrBoxp">
    <w:name w:val="dTxTdivrBoxp"/>
    <w:basedOn w:val="Normal"/>
    <w:rsid w:val="00A038B5"/>
    <w:pPr>
      <w:spacing w:before="120" w:after="120" w:line="240" w:lineRule="auto"/>
      <w:ind w:right="121"/>
      <w:jc w:val="both"/>
    </w:pPr>
    <w:rPr>
      <w:rFonts w:ascii="Arial Unicode MS" w:eastAsia="Times New Roman" w:hAnsi="Arial Unicode MS" w:cs="Arial Unicode MS"/>
      <w:sz w:val="20"/>
      <w:szCs w:val="20"/>
      <w:lang w:eastAsia="fr-FR"/>
    </w:rPr>
  </w:style>
  <w:style w:type="paragraph" w:customStyle="1" w:styleId="dTxTdivrBoxulli1">
    <w:name w:val="dTxTdivrBoxulli1"/>
    <w:basedOn w:val="Normal"/>
    <w:rsid w:val="00A038B5"/>
    <w:pPr>
      <w:spacing w:before="120" w:after="120" w:line="240" w:lineRule="auto"/>
      <w:ind w:right="121"/>
      <w:jc w:val="both"/>
    </w:pPr>
    <w:rPr>
      <w:rFonts w:ascii="Arial Unicode MS" w:eastAsia="Times New Roman" w:hAnsi="Arial Unicode MS" w:cs="Arial Unicode MS"/>
      <w:sz w:val="20"/>
      <w:szCs w:val="20"/>
      <w:lang w:eastAsia="fr-FR"/>
    </w:rPr>
  </w:style>
  <w:style w:type="paragraph" w:customStyle="1" w:styleId="dTxTdivsignp">
    <w:name w:val="dTxTdivsignp"/>
    <w:qFormat/>
    <w:rsid w:val="00A038B5"/>
    <w:pPr>
      <w:spacing w:after="200" w:line="276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fr-FR"/>
    </w:rPr>
  </w:style>
  <w:style w:type="paragraph" w:customStyle="1" w:styleId="standard">
    <w:name w:val="standard"/>
    <w:qFormat/>
    <w:rsid w:val="00A038B5"/>
    <w:pPr>
      <w:spacing w:before="120" w:after="120" w:line="240" w:lineRule="auto"/>
      <w:ind w:right="121"/>
      <w:jc w:val="both"/>
    </w:pPr>
    <w:rPr>
      <w:rFonts w:ascii="Arial Unicode MS" w:eastAsia="Times New Roman" w:hAnsi="Arial Unicode MS" w:cs="Arial Unicode MS"/>
      <w:color w:val="000000"/>
      <w:sz w:val="20"/>
      <w:szCs w:val="20"/>
      <w:lang w:eastAsia="fr-FR"/>
    </w:rPr>
  </w:style>
  <w:style w:type="character" w:customStyle="1" w:styleId="citenClspan">
    <w:name w:val="citenClspan"/>
    <w:basedOn w:val="Policepardfaut"/>
    <w:rsid w:val="00A038B5"/>
    <w:rPr>
      <w:rFonts w:ascii="Arial Unicode MS" w:eastAsia="Times New Roman" w:hAnsi="Arial Unicode MS" w:cs="Arial Unicode MS"/>
      <w:i w:val="0"/>
      <w:color w:val="0000FF"/>
      <w:lang w:eastAsia="fr-FR"/>
    </w:rPr>
  </w:style>
  <w:style w:type="paragraph" w:customStyle="1" w:styleId="dTxTdivoptdivhDescp">
    <w:name w:val="dTxTdivoptdivhDescp"/>
    <w:basedOn w:val="Normal"/>
    <w:rsid w:val="00A038B5"/>
    <w:pPr>
      <w:spacing w:before="120" w:after="120" w:line="240" w:lineRule="auto"/>
      <w:ind w:right="121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paragraph" w:customStyle="1" w:styleId="dTxTdivoptp">
    <w:name w:val="dTxTdivoptp"/>
    <w:basedOn w:val="Normal"/>
    <w:rsid w:val="00A038B5"/>
    <w:pPr>
      <w:spacing w:before="120" w:after="120" w:line="240" w:lineRule="auto"/>
      <w:jc w:val="both"/>
    </w:pPr>
    <w:rPr>
      <w:rFonts w:ascii="Arial Unicode MS" w:eastAsia="Times New Roman" w:hAnsi="Arial Unicode MS" w:cs="Arial Unicode MS"/>
      <w:color w:val="000000"/>
      <w:sz w:val="20"/>
      <w:szCs w:val="20"/>
      <w:lang w:eastAsia="fr-FR"/>
    </w:rPr>
  </w:style>
  <w:style w:type="paragraph" w:customStyle="1" w:styleId="dTxTdivrBoxdivrhDesc">
    <w:name w:val="dTxTdivrBoxdivrhDesc"/>
    <w:qFormat/>
    <w:rsid w:val="00A038B5"/>
    <w:pPr>
      <w:spacing w:before="120" w:after="120" w:line="240" w:lineRule="auto"/>
      <w:ind w:right="121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paragraph" w:customStyle="1" w:styleId="dTxTdivopt">
    <w:name w:val="dTxTdivopt"/>
    <w:qFormat/>
    <w:rsid w:val="00A038B5"/>
    <w:pPr>
      <w:spacing w:before="120" w:after="120" w:line="240" w:lineRule="auto"/>
      <w:ind w:right="121"/>
      <w:jc w:val="both"/>
    </w:pPr>
    <w:rPr>
      <w:rFonts w:ascii="Arial Unicode MS" w:eastAsia="Times New Roman" w:hAnsi="Arial Unicode MS" w:cs="Arial Unicode MS"/>
      <w:sz w:val="20"/>
      <w:szCs w:val="20"/>
      <w:lang w:eastAsia="fr-FR"/>
    </w:rPr>
  </w:style>
  <w:style w:type="character" w:customStyle="1" w:styleId="dTxTdivccnfintroemajsup">
    <w:name w:val="dTxTdivccn fintroemajsup"/>
    <w:rsid w:val="00A038B5"/>
    <w:rPr>
      <w:vertAlign w:val="superscript"/>
    </w:rPr>
  </w:style>
  <w:style w:type="character" w:customStyle="1" w:styleId="dTxTdivsignsdivdateplacepcitenClspan">
    <w:name w:val="dTxTdivsignsdivdateplacepcitenClspan"/>
    <w:basedOn w:val="Policepardfaut"/>
    <w:rsid w:val="00A038B5"/>
    <w:rPr>
      <w:rFonts w:ascii="Arial Unicode MS" w:eastAsia="Times New Roman" w:hAnsi="Arial Unicode MS" w:cs="Arial Unicode MS"/>
      <w:i w:val="0"/>
      <w:color w:val="0000FF"/>
      <w:lang w:eastAsia="fr-FR"/>
    </w:rPr>
  </w:style>
  <w:style w:type="character" w:customStyle="1" w:styleId="dTxTdivsignsdivsignpcitenClspan">
    <w:name w:val="dTxTdivsignsdivsignpcitenClspan"/>
    <w:basedOn w:val="Policepardfaut"/>
    <w:rsid w:val="00A038B5"/>
    <w:rPr>
      <w:rFonts w:ascii="Arial Unicode MS" w:eastAsia="Times New Roman" w:hAnsi="Arial Unicode MS" w:cs="Arial Unicode MS"/>
      <w:i w:val="0"/>
      <w:color w:val="0000FF"/>
      <w:lang w:eastAsia="fr-FR"/>
    </w:rPr>
  </w:style>
  <w:style w:type="character" w:customStyle="1" w:styleId="spanPCa">
    <w:name w:val="spanPCa"/>
    <w:basedOn w:val="Policepardfaut"/>
    <w:rsid w:val="00A038B5"/>
    <w:rPr>
      <w:shd w:val="clear" w:color="auto" w:fill="00FFFF"/>
    </w:rPr>
  </w:style>
  <w:style w:type="paragraph" w:customStyle="1" w:styleId="dHeadh2Niv8">
    <w:name w:val="dHeadh2Niv8"/>
    <w:basedOn w:val="Normal"/>
    <w:rsid w:val="00A038B5"/>
    <w:pPr>
      <w:spacing w:before="100" w:beforeAutospacing="1" w:after="100" w:afterAutospacing="1" w:line="240" w:lineRule="auto"/>
      <w:jc w:val="center"/>
      <w:outlineLvl w:val="8"/>
    </w:pPr>
    <w:rPr>
      <w:rFonts w:ascii="Arial Unicode MS" w:eastAsia="Arial Unicode MS" w:hAnsi="Arial Unicode MS" w:cs="Arial Unicode MS"/>
      <w:b/>
      <w:bCs/>
      <w:sz w:val="32"/>
      <w:szCs w:val="32"/>
      <w:lang w:eastAsia="fr-FR"/>
    </w:rPr>
  </w:style>
  <w:style w:type="paragraph" w:customStyle="1" w:styleId="dTxTdivdateplace">
    <w:name w:val="dTxTdivdateplace"/>
    <w:basedOn w:val="Normal"/>
    <w:rsid w:val="00A038B5"/>
    <w:pPr>
      <w:spacing w:after="200" w:line="276" w:lineRule="auto"/>
    </w:pPr>
    <w:rPr>
      <w:rFonts w:ascii="Arial Unicode MS" w:eastAsia="Times New Roman" w:hAnsi="Arial Unicode MS" w:cs="Arial Unicode MS"/>
      <w:b/>
      <w:color w:val="000000"/>
      <w:sz w:val="20"/>
      <w:szCs w:val="20"/>
      <w:lang w:eastAsia="fr-FR"/>
    </w:rPr>
  </w:style>
  <w:style w:type="paragraph" w:customStyle="1" w:styleId="dcorp">
    <w:name w:val="dcorp"/>
    <w:basedOn w:val="Normal"/>
    <w:rsid w:val="00A038B5"/>
    <w:pPr>
      <w:spacing w:after="200" w:line="276" w:lineRule="auto"/>
    </w:pPr>
    <w:rPr>
      <w:rFonts w:ascii="Arial Unicode MS" w:eastAsia="Times New Roman" w:hAnsi="Arial Unicode MS" w:cs="Arial Unicode MS"/>
      <w:b/>
      <w:color w:val="000000"/>
      <w:sz w:val="20"/>
      <w:szCs w:val="20"/>
      <w:lang w:eastAsia="fr-FR"/>
    </w:rPr>
  </w:style>
  <w:style w:type="paragraph" w:customStyle="1" w:styleId="dCoIntrop">
    <w:name w:val="dCoIntrop"/>
    <w:basedOn w:val="Normal"/>
    <w:rsid w:val="00A038B5"/>
    <w:pPr>
      <w:spacing w:after="200" w:line="276" w:lineRule="auto"/>
    </w:pPr>
    <w:rPr>
      <w:rFonts w:ascii="Arial Unicode MS" w:eastAsia="Times New Roman" w:hAnsi="Arial Unicode MS" w:cs="Arial Unicode MS"/>
      <w:b/>
      <w:color w:val="000000"/>
      <w:sz w:val="20"/>
      <w:szCs w:val="20"/>
      <w:lang w:eastAsia="fr-FR"/>
    </w:rPr>
  </w:style>
  <w:style w:type="character" w:customStyle="1" w:styleId="options">
    <w:name w:val="options"/>
    <w:qFormat/>
    <w:rsid w:val="00A038B5"/>
    <w:rPr>
      <w:b/>
      <w:color w:val="FFA500"/>
      <w:u w:val="single"/>
      <w:lang w:eastAsia="fr-FR"/>
    </w:rPr>
  </w:style>
  <w:style w:type="character" w:customStyle="1" w:styleId="optiono">
    <w:name w:val="optiono"/>
    <w:qFormat/>
    <w:rsid w:val="00A038B5"/>
    <w:rPr>
      <w:b/>
      <w:color w:val="FFA500"/>
      <w:lang w:eastAsia="fr-FR"/>
    </w:rPr>
  </w:style>
  <w:style w:type="character" w:customStyle="1" w:styleId="eventualmente">
    <w:name w:val="eventualmente"/>
    <w:basedOn w:val="Policepardfaut"/>
    <w:rsid w:val="00A038B5"/>
    <w:rPr>
      <w:color w:val="FFA500"/>
    </w:rPr>
  </w:style>
  <w:style w:type="paragraph" w:customStyle="1" w:styleId="dTxTdivrGroup">
    <w:name w:val="dTxTdivrGroup"/>
    <w:rsid w:val="00A038B5"/>
    <w:pPr>
      <w:spacing w:after="200" w:line="276" w:lineRule="auto"/>
    </w:pPr>
    <w:rPr>
      <w:rFonts w:ascii="Arial Unicode MS" w:eastAsia="Times New Roman" w:hAnsi="Arial Unicode MS" w:cs="Arial Unicode MS"/>
      <w:b/>
      <w:i/>
      <w:sz w:val="20"/>
      <w:szCs w:val="20"/>
      <w:lang w:eastAsia="fr-FR"/>
    </w:rPr>
  </w:style>
  <w:style w:type="paragraph" w:customStyle="1" w:styleId="psign">
    <w:name w:val="psign"/>
    <w:basedOn w:val="Normal"/>
    <w:rsid w:val="00A038B5"/>
    <w:pPr>
      <w:spacing w:after="200" w:line="276" w:lineRule="auto"/>
    </w:pPr>
    <w:rPr>
      <w:rFonts w:ascii="Arial Unicode MS" w:eastAsia="Times New Roman" w:hAnsi="Arial Unicode MS" w:cs="Arial Unicode MS"/>
      <w:b/>
      <w:color w:val="000000"/>
      <w:sz w:val="20"/>
      <w:szCs w:val="20"/>
      <w:lang w:eastAsia="fr-FR"/>
    </w:rPr>
  </w:style>
  <w:style w:type="paragraph" w:customStyle="1" w:styleId="psigns">
    <w:name w:val="psigns"/>
    <w:basedOn w:val="Normal"/>
    <w:rsid w:val="00A038B5"/>
    <w:pPr>
      <w:spacing w:after="200" w:line="276" w:lineRule="auto"/>
    </w:pPr>
    <w:rPr>
      <w:rFonts w:ascii="Arial Unicode MS" w:eastAsia="Times New Roman" w:hAnsi="Arial Unicode MS" w:cs="Arial Unicode MS"/>
      <w:b/>
      <w:color w:val="000000"/>
      <w:sz w:val="20"/>
      <w:szCs w:val="20"/>
      <w:lang w:eastAsia="fr-FR"/>
    </w:rPr>
  </w:style>
  <w:style w:type="character" w:customStyle="1" w:styleId="checkbox">
    <w:name w:val="checkbox"/>
    <w:rsid w:val="00A038B5"/>
    <w:rPr>
      <w:b/>
      <w:i/>
    </w:rPr>
  </w:style>
  <w:style w:type="character" w:customStyle="1" w:styleId="acitadt">
    <w:name w:val="acitadt"/>
    <w:rsid w:val="00A038B5"/>
    <w:rPr>
      <w:bdr w:val="single" w:sz="4" w:space="0" w:color="auto"/>
      <w:shd w:val="clear" w:color="auto" w:fill="BFBFBF" w:themeFill="background1" w:themeFillShade="BF"/>
    </w:rPr>
  </w:style>
  <w:style w:type="character" w:customStyle="1" w:styleId="dTxTdivccnfintroemajspanPCI">
    <w:name w:val="dTxTdivccn fintroemajspanPCI"/>
    <w:basedOn w:val="acitadt"/>
    <w:rsid w:val="00A038B5"/>
    <w:rPr>
      <w:bdr w:val="single" w:sz="4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2</cp:revision>
  <dcterms:created xsi:type="dcterms:W3CDTF">2022-11-04T16:55:00Z</dcterms:created>
  <dcterms:modified xsi:type="dcterms:W3CDTF">2022-11-04T16:55:00Z</dcterms:modified>
</cp:coreProperties>
</file>