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72B4" w14:textId="31DAD267" w:rsidR="00FE4A4E" w:rsidRPr="00FE4A4E" w:rsidRDefault="00FE4A4E" w:rsidP="00FE4A4E">
      <w:pPr>
        <w:pStyle w:val="Titre3"/>
        <w:tabs>
          <w:tab w:val="right" w:leader="dot" w:pos="8789"/>
        </w:tabs>
        <w:rPr>
          <w:sz w:val="40"/>
          <w:szCs w:val="40"/>
        </w:rPr>
      </w:pPr>
      <w:bookmarkStart w:id="0" w:name="_Toc62058752"/>
      <w:r w:rsidRPr="00FE4A4E">
        <w:rPr>
          <w:sz w:val="40"/>
          <w:szCs w:val="40"/>
        </w:rPr>
        <w:t xml:space="preserve">Modèle </w:t>
      </w:r>
      <w:r w:rsidRPr="00FE4A4E">
        <w:rPr>
          <w:sz w:val="40"/>
          <w:szCs w:val="40"/>
        </w:rPr>
        <w:t>de convention individuelle de forfait en jours</w:t>
      </w:r>
      <w:bookmarkEnd w:id="0"/>
    </w:p>
    <w:p w14:paraId="32C676C9" w14:textId="02C7CDCC" w:rsidR="00FE4A4E" w:rsidRPr="00FE4A4E" w:rsidRDefault="00FE4A4E" w:rsidP="00FE4A4E">
      <w:pPr>
        <w:spacing w:after="0" w:line="240" w:lineRule="auto"/>
        <w:rPr>
          <w:rFonts w:cstheme="minorHAnsi"/>
          <w:sz w:val="24"/>
          <w:szCs w:val="24"/>
        </w:rPr>
      </w:pPr>
    </w:p>
    <w:p w14:paraId="7992124A" w14:textId="103A0F41"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L’accord </w:t>
      </w:r>
      <w:r w:rsidRPr="00FE4A4E">
        <w:rPr>
          <w:rFonts w:eastAsia="Times New Roman" w:cstheme="minorHAnsi"/>
          <w:color w:val="333333"/>
          <w:sz w:val="24"/>
          <w:szCs w:val="24"/>
          <w:lang w:eastAsia="fr-FR"/>
        </w:rPr>
        <w:t xml:space="preserve">collectif </w:t>
      </w:r>
      <w:r w:rsidRPr="00FE4A4E">
        <w:rPr>
          <w:rFonts w:eastAsia="Times New Roman" w:cstheme="minorHAnsi"/>
          <w:color w:val="333333"/>
          <w:sz w:val="24"/>
          <w:szCs w:val="24"/>
          <w:lang w:eastAsia="fr-FR"/>
        </w:rPr>
        <w:t xml:space="preserve">du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prévoit la mise en place de conventions de forfaits en jours pour ceux qui y sont éligibles.</w:t>
      </w:r>
    </w:p>
    <w:p w14:paraId="73D49EC2" w14:textId="61611B1C"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dispositif est régi par les articles L. 3121-53 à L 3121-66 du Code du travail.</w:t>
      </w:r>
    </w:p>
    <w:p w14:paraId="3EDB7EAC" w14:textId="75A1B89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la fonction de </w:t>
      </w:r>
      <w:r>
        <w:rPr>
          <w:rFonts w:eastAsia="Times New Roman" w:cstheme="minorHAnsi"/>
          <w:color w:val="333333"/>
          <w:sz w:val="24"/>
          <w:szCs w:val="24"/>
          <w:lang w:eastAsia="fr-FR"/>
        </w:rPr>
        <w:t xml:space="preserve">Madame (ou Monsieur)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qui implique une grande autonomie dans l’organisation de l’emploi du temps </w:t>
      </w:r>
      <w:r w:rsidRPr="00FE4A4E">
        <w:rPr>
          <w:rFonts w:eastAsia="Times New Roman" w:cstheme="minorHAnsi"/>
          <w:i/>
          <w:iCs/>
          <w:color w:val="333333"/>
          <w:sz w:val="24"/>
          <w:szCs w:val="24"/>
          <w:lang w:eastAsia="fr-FR"/>
        </w:rPr>
        <w:t>(préciser),</w:t>
      </w:r>
      <w:r w:rsidRPr="00FE4A4E">
        <w:rPr>
          <w:rFonts w:eastAsia="Times New Roman" w:cstheme="minorHAnsi"/>
          <w:color w:val="333333"/>
          <w:sz w:val="24"/>
          <w:szCs w:val="24"/>
          <w:lang w:eastAsia="fr-FR"/>
        </w:rPr>
        <w:t> il est conclu le présent avenant.</w:t>
      </w:r>
    </w:p>
    <w:p w14:paraId="0597729E" w14:textId="664B6E97"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À compter du</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exercera </w:t>
      </w:r>
      <w:r>
        <w:rPr>
          <w:rFonts w:eastAsia="Times New Roman" w:cstheme="minorHAnsi"/>
          <w:color w:val="333333"/>
          <w:sz w:val="24"/>
          <w:szCs w:val="24"/>
          <w:lang w:eastAsia="fr-FR"/>
        </w:rPr>
        <w:t xml:space="preserve">ses fonctions </w:t>
      </w:r>
      <w:r w:rsidRPr="00FE4A4E">
        <w:rPr>
          <w:rFonts w:eastAsia="Times New Roman" w:cstheme="minorHAnsi"/>
          <w:color w:val="333333"/>
          <w:sz w:val="24"/>
          <w:szCs w:val="24"/>
          <w:lang w:eastAsia="fr-FR"/>
        </w:rPr>
        <w:t>dans le cadre d’</w:t>
      </w:r>
      <w:r w:rsidRPr="00FE4A4E">
        <w:rPr>
          <w:rFonts w:eastAsia="Times New Roman" w:cstheme="minorHAnsi"/>
          <w:color w:val="333333"/>
          <w:sz w:val="24"/>
          <w:szCs w:val="24"/>
          <w:lang w:eastAsia="fr-FR"/>
        </w:rPr>
        <w:t>un forfait annuel de</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&gt;</w:t>
      </w:r>
      <w:r w:rsidRPr="00FE4A4E">
        <w:rPr>
          <w:rFonts w:eastAsia="Times New Roman" w:cstheme="minorHAnsi"/>
          <w:color w:val="333333"/>
          <w:sz w:val="24"/>
          <w:szCs w:val="24"/>
          <w:lang w:eastAsia="fr-FR"/>
        </w:rPr>
        <w:t xml:space="preserve"> jours</w:t>
      </w:r>
      <w:r>
        <w:rPr>
          <w:rFonts w:eastAsia="Times New Roman" w:cstheme="minorHAnsi"/>
          <w:color w:val="333333"/>
          <w:sz w:val="24"/>
          <w:szCs w:val="24"/>
          <w:lang w:eastAsia="fr-FR"/>
        </w:rPr>
        <w:t>.</w:t>
      </w:r>
    </w:p>
    <w:p w14:paraId="4EE0EAF9" w14:textId="79D5C309"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Le montant de la rémunération annuelle </w:t>
      </w:r>
      <w:r>
        <w:rPr>
          <w:rFonts w:eastAsia="Times New Roman" w:cstheme="minorHAnsi"/>
          <w:color w:val="333333"/>
          <w:sz w:val="24"/>
          <w:szCs w:val="24"/>
          <w:lang w:eastAsia="fr-FR"/>
        </w:rPr>
        <w:t xml:space="preserve">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un montant mensuel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p>
    <w:p w14:paraId="25A333CA" w14:textId="55E5E15E"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ED7D31" w:themeColor="accent2"/>
          <w:sz w:val="24"/>
          <w:szCs w:val="24"/>
          <w:lang w:eastAsia="fr-FR"/>
        </w:rPr>
        <w:sym w:font="Wingdings" w:char="F0C4"/>
      </w:r>
      <w:r w:rsidRPr="00FE4A4E">
        <w:rPr>
          <w:rFonts w:eastAsia="Times New Roman" w:cstheme="minorHAnsi"/>
          <w:color w:val="333333"/>
          <w:sz w:val="24"/>
          <w:szCs w:val="24"/>
          <w:lang w:eastAsia="fr-FR"/>
        </w:rPr>
        <w:t xml:space="preserve">Il est rappelé que le montant de cette rémunération a été fixé en tenant compte des compétences 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mais aussi de l’acceptation du forfait en jours.</w:t>
      </w:r>
    </w:p>
    <w:p w14:paraId="49F0A47F" w14:textId="02B4A294" w:rsidR="00FE4A4E" w:rsidRPr="00FE4A4E" w:rsidRDefault="00FE4A4E" w:rsidP="00FE4A4E">
      <w:pPr>
        <w:spacing w:after="0" w:line="240" w:lineRule="auto"/>
        <w:jc w:val="both"/>
        <w:rPr>
          <w:rFonts w:eastAsia="Times New Roman" w:cstheme="minorHAnsi"/>
          <w:color w:val="ED7D31" w:themeColor="accent2"/>
          <w:sz w:val="24"/>
          <w:szCs w:val="24"/>
          <w:lang w:eastAsia="fr-FR"/>
        </w:rPr>
      </w:pPr>
      <w:r w:rsidRPr="00FE4A4E">
        <w:rPr>
          <w:rFonts w:eastAsia="Times New Roman" w:cstheme="minorHAnsi"/>
          <w:color w:val="ED7D31" w:themeColor="accent2"/>
          <w:sz w:val="24"/>
          <w:szCs w:val="24"/>
          <w:lang w:eastAsia="fr-FR"/>
        </w:rPr>
        <w:t xml:space="preserve">Ou </w:t>
      </w:r>
    </w:p>
    <w:p w14:paraId="7B44E5D6" w14:textId="3332B568" w:rsidR="00FE4A4E" w:rsidRPr="00A51A1B" w:rsidRDefault="00FE4A4E" w:rsidP="00FE4A4E">
      <w:pPr>
        <w:tabs>
          <w:tab w:val="right" w:leader="dot" w:pos="8789"/>
        </w:tabs>
        <w:jc w:val="both"/>
        <w:rPr>
          <w:rFonts w:cstheme="minorHAnsi"/>
          <w:sz w:val="24"/>
          <w:szCs w:val="24"/>
        </w:rPr>
      </w:pPr>
      <w:r>
        <w:rPr>
          <w:color w:val="333333"/>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color w:val="333333"/>
        </w:rPr>
        <w:t xml:space="preserve">: </w:t>
      </w:r>
      <w:r w:rsidRPr="00A51A1B">
        <w:rPr>
          <w:rFonts w:cstheme="minorHAnsi"/>
          <w:sz w:val="24"/>
          <w:szCs w:val="24"/>
        </w:rPr>
        <w:t xml:space="preserve">la rémunération </w:t>
      </w:r>
      <w:r>
        <w:rPr>
          <w:rFonts w:cstheme="minorHAnsi"/>
          <w:sz w:val="24"/>
          <w:szCs w:val="24"/>
        </w:rPr>
        <w:t xml:space="preserve">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sidRPr="00A51A1B">
        <w:rPr>
          <w:rFonts w:cstheme="minorHAnsi"/>
          <w:sz w:val="24"/>
          <w:szCs w:val="24"/>
        </w:rPr>
        <w:t xml:space="preserve">est décomposée en un salaire de base lié au poste occupé, et en une prime </w:t>
      </w:r>
      <w:r>
        <w:rPr>
          <w:rFonts w:cstheme="minorHAnsi"/>
          <w:sz w:val="24"/>
          <w:szCs w:val="24"/>
        </w:rPr>
        <w:t xml:space="preserve">de </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liée aux sujétions du forfait et qui rémunère forfaitairement les</w:t>
      </w:r>
      <w:r>
        <w:rPr>
          <w:rFonts w:cstheme="minorHAnsi"/>
          <w:sz w:val="24"/>
          <w:szCs w:val="24"/>
        </w:rPr>
        <w:t xml:space="preserve"> </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jours travaillés.</w:t>
      </w:r>
    </w:p>
    <w:p w14:paraId="2A9E427D" w14:textId="58EE663F" w:rsidR="00FE4A4E" w:rsidRDefault="00FE4A4E" w:rsidP="00FE4A4E">
      <w:pPr>
        <w:tabs>
          <w:tab w:val="right" w:leader="dot" w:pos="8789"/>
        </w:tabs>
        <w:jc w:val="both"/>
        <w:rPr>
          <w:rFonts w:cstheme="minorHAnsi"/>
          <w:sz w:val="24"/>
          <w:szCs w:val="24"/>
        </w:rPr>
      </w:pPr>
      <w:r w:rsidRPr="00A51A1B">
        <w:rPr>
          <w:rFonts w:cstheme="minorHAnsi"/>
          <w:sz w:val="24"/>
          <w:szCs w:val="24"/>
        </w:rPr>
        <w:t xml:space="preserve">En cas de sortie du forfait, pour revenir à un dispositif horaire d’organisation de la durée du travail, la prime liée aux sujétions du forfait n’aura plus de raison d’être et ne sera plus due. </w:t>
      </w:r>
    </w:p>
    <w:p w14:paraId="14698C7B" w14:textId="77777777" w:rsidR="00FE4A4E" w:rsidRPr="00A51A1B" w:rsidRDefault="00FE4A4E" w:rsidP="00FE4A4E">
      <w:pPr>
        <w:tabs>
          <w:tab w:val="right" w:leader="dot" w:pos="8789"/>
        </w:tabs>
        <w:jc w:val="both"/>
        <w:rPr>
          <w:rFonts w:cstheme="minorHAnsi"/>
          <w:sz w:val="24"/>
          <w:szCs w:val="24"/>
        </w:rPr>
      </w:pP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sidRPr="00A51A1B">
        <w:rPr>
          <w:rFonts w:cstheme="minorHAnsi"/>
          <w:sz w:val="24"/>
          <w:szCs w:val="24"/>
        </w:rPr>
        <w:t>: La rémunération versée est forfaitaire et couvre les astreintes, interventions en astreinte, temps de déplacements professionnels, habituels ou excédentaires, dans la mesure où le dispositif du forfait annuel en jours ne permet pas de déterminer les volumes horaires de ces temps de travail ou de ces temps professionnels et où le dispositif du forfait, couvre par principe l’ensemble des temps travaillés et exclut le décompte horaire.</w:t>
      </w:r>
    </w:p>
    <w:p w14:paraId="303F00B5" w14:textId="77777777" w:rsidR="00FE4A4E" w:rsidRPr="00A51A1B" w:rsidRDefault="00FE4A4E" w:rsidP="00FE4A4E">
      <w:pPr>
        <w:tabs>
          <w:tab w:val="right" w:leader="dot" w:pos="8789"/>
        </w:tabs>
        <w:jc w:val="both"/>
        <w:rPr>
          <w:rFonts w:cstheme="minorHAnsi"/>
          <w:sz w:val="24"/>
          <w:szCs w:val="24"/>
        </w:rPr>
      </w:pPr>
      <w:r w:rsidRPr="00A51A1B">
        <w:rPr>
          <w:rFonts w:cstheme="minorHAnsi"/>
          <w:sz w:val="24"/>
          <w:szCs w:val="24"/>
        </w:rPr>
        <w:t xml:space="preserve">De manière corrélative, les temps d’intervention en astreinte, les temps de travail effectifs en déplacement, même inférieurs à une </w:t>
      </w:r>
      <w:r>
        <w:rPr>
          <w:rFonts w:ascii="Cambria Math" w:hAnsi="Cambria Math" w:cs="Cambria Math"/>
          <w:sz w:val="24"/>
          <w:szCs w:val="24"/>
        </w:rPr>
        <w:t>≪</w:t>
      </w:r>
      <w:r w:rsidRPr="00A51A1B">
        <w:rPr>
          <w:rFonts w:cstheme="minorHAnsi"/>
          <w:sz w:val="24"/>
          <w:szCs w:val="24"/>
        </w:rPr>
        <w:t>demi-journée ou journée travaillée</w:t>
      </w:r>
      <w:r>
        <w:rPr>
          <w:rFonts w:ascii="Cambria Math" w:hAnsi="Cambria Math" w:cs="Cambria Math"/>
          <w:sz w:val="24"/>
          <w:szCs w:val="24"/>
        </w:rPr>
        <w:t>≫</w:t>
      </w:r>
      <w:r w:rsidRPr="00A51A1B">
        <w:rPr>
          <w:rFonts w:cstheme="minorHAnsi"/>
          <w:sz w:val="24"/>
          <w:szCs w:val="24"/>
        </w:rPr>
        <w:t xml:space="preserve">, seront décomptés comme des </w:t>
      </w:r>
      <w:r>
        <w:rPr>
          <w:rFonts w:ascii="Cambria Math" w:hAnsi="Cambria Math" w:cs="Cambria Math"/>
          <w:sz w:val="24"/>
          <w:szCs w:val="24"/>
        </w:rPr>
        <w:t>≪</w:t>
      </w:r>
      <w:r w:rsidRPr="00A51A1B">
        <w:rPr>
          <w:rFonts w:cstheme="minorHAnsi"/>
          <w:sz w:val="24"/>
          <w:szCs w:val="24"/>
        </w:rPr>
        <w:t>demi-journées ou journées travaillées</w:t>
      </w:r>
      <w:r>
        <w:rPr>
          <w:rFonts w:ascii="Cambria Math" w:hAnsi="Cambria Math" w:cs="Cambria Math"/>
          <w:sz w:val="24"/>
          <w:szCs w:val="24"/>
        </w:rPr>
        <w:t>≫</w:t>
      </w:r>
      <w:r w:rsidRPr="00A51A1B">
        <w:rPr>
          <w:rFonts w:cstheme="minorHAnsi"/>
          <w:sz w:val="24"/>
          <w:szCs w:val="24"/>
        </w:rPr>
        <w:t xml:space="preserve"> de manière forfaitaire.</w:t>
      </w:r>
    </w:p>
    <w:p w14:paraId="66CDABC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1C48011D" w14:textId="453898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Pour mener à bonne fin</w:t>
      </w:r>
      <w:r>
        <w:rPr>
          <w:rFonts w:eastAsia="Times New Roman" w:cstheme="minorHAnsi"/>
          <w:color w:val="333333"/>
          <w:sz w:val="24"/>
          <w:szCs w:val="24"/>
          <w:lang w:eastAsia="fr-FR"/>
        </w:rPr>
        <w:t xml:space="preserve"> ses fonctions</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libre de s’organiser comme il l’entend, tout en respectant :</w:t>
      </w:r>
    </w:p>
    <w:p w14:paraId="294BC4E8" w14:textId="783EE8E2" w:rsidR="00FE4A4E" w:rsidRDefault="00FE4A4E" w:rsidP="00707CF8">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les contraintes organisationnelles de </w:t>
      </w:r>
      <w:r w:rsidRPr="00FE4A4E">
        <w:rPr>
          <w:rFonts w:eastAsia="Times New Roman" w:cstheme="minorHAnsi"/>
          <w:color w:val="333333"/>
          <w:sz w:val="24"/>
          <w:szCs w:val="24"/>
          <w:lang w:eastAsia="fr-FR"/>
        </w:rPr>
        <w:t>l’établissement ;</w:t>
      </w:r>
    </w:p>
    <w:p w14:paraId="142E9290"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besoins des clients ;</w:t>
      </w:r>
    </w:p>
    <w:p w14:paraId="2B732C28" w14:textId="77777777" w:rsid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règles concourant au bon fonctionnement du service dont il relève ;</w:t>
      </w:r>
    </w:p>
    <w:p w14:paraId="61298FAE" w14:textId="7A97C526" w:rsidR="00FE4A4E" w:rsidRP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usages applicables dans l’entreprise.</w:t>
      </w:r>
    </w:p>
    <w:p w14:paraId="326C3A89" w14:textId="77777777" w:rsidR="00FE4A4E" w:rsidRDefault="00FE4A4E" w:rsidP="00FE4A4E">
      <w:pPr>
        <w:spacing w:after="0" w:line="240" w:lineRule="auto"/>
        <w:jc w:val="both"/>
        <w:rPr>
          <w:rFonts w:eastAsia="Times New Roman" w:cstheme="minorHAnsi"/>
          <w:color w:val="333333"/>
          <w:sz w:val="24"/>
          <w:szCs w:val="24"/>
          <w:lang w:eastAsia="fr-FR"/>
        </w:rPr>
      </w:pPr>
    </w:p>
    <w:p w14:paraId="1279F69B" w14:textId="373503E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cette liberté d’organisation,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sur l’honneur à respecter, en toutes circonstances, le repos minimal quotidien de 11 heures consécutives et le repos hebdomadaire prévus aux </w:t>
      </w:r>
      <w:hyperlink r:id="rId5" w:anchor="I126529')" w:tooltip="lien" w:history="1">
        <w:r w:rsidRPr="00FE4A4E">
          <w:rPr>
            <w:rFonts w:eastAsia="Times New Roman" w:cstheme="minorHAnsi"/>
            <w:color w:val="333333"/>
            <w:sz w:val="24"/>
            <w:szCs w:val="24"/>
            <w:lang w:eastAsia="fr-FR"/>
          </w:rPr>
          <w:t>articles L. 3131-1</w:t>
        </w:r>
      </w:hyperlink>
      <w:r w:rsidRPr="00FE4A4E">
        <w:rPr>
          <w:rFonts w:eastAsia="Times New Roman" w:cstheme="minorHAnsi"/>
          <w:color w:val="333333"/>
          <w:sz w:val="24"/>
          <w:szCs w:val="24"/>
          <w:lang w:eastAsia="fr-FR"/>
        </w:rPr>
        <w:t> et </w:t>
      </w:r>
      <w:hyperlink r:id="rId6" w:anchor="I24847')" w:tooltip="lien" w:history="1">
        <w:r w:rsidRPr="00FE4A4E">
          <w:rPr>
            <w:rFonts w:eastAsia="Times New Roman" w:cstheme="minorHAnsi"/>
            <w:color w:val="333333"/>
            <w:sz w:val="24"/>
            <w:szCs w:val="24"/>
            <w:lang w:eastAsia="fr-FR"/>
          </w:rPr>
          <w:t>L. 3132-2 du Code du travail</w:t>
        </w:r>
      </w:hyperlink>
      <w:r w:rsidRPr="00FE4A4E">
        <w:rPr>
          <w:rFonts w:eastAsia="Times New Roman" w:cstheme="minorHAnsi"/>
          <w:color w:val="333333"/>
          <w:sz w:val="24"/>
          <w:szCs w:val="24"/>
          <w:lang w:eastAsia="fr-FR"/>
        </w:rPr>
        <w:t>. Le jour de repos hebdomadaire est en principe le dimanche. Les journées (et demi-journées) de repos seront posées par le salarié selon les modalités suivantes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38A4ADD3" w14:textId="77777777" w:rsidR="00FE4A4E" w:rsidRDefault="00FE4A4E" w:rsidP="00FE4A4E">
      <w:pPr>
        <w:spacing w:after="0" w:line="240" w:lineRule="auto"/>
        <w:jc w:val="both"/>
        <w:rPr>
          <w:rFonts w:eastAsia="Times New Roman" w:cstheme="minorHAnsi"/>
          <w:color w:val="333333"/>
          <w:sz w:val="24"/>
          <w:szCs w:val="24"/>
          <w:lang w:eastAsia="fr-FR"/>
        </w:rPr>
      </w:pPr>
    </w:p>
    <w:p w14:paraId="6BF65D77" w14:textId="312DE233" w:rsidR="00FE4A4E" w:rsidRPr="00FE4A4E" w:rsidRDefault="00FE4A4E" w:rsidP="00FE4A4E">
      <w:pPr>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lastRenderedPageBreak/>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également dans ce contexte à respecter les dispositions de l’accord collectif applicable.</w:t>
      </w:r>
    </w:p>
    <w:p w14:paraId="656C912B" w14:textId="7777777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 forfait en jours s’accompagne d’un contrôle du nombre de jours travaillés.</w:t>
      </w:r>
    </w:p>
    <w:p w14:paraId="110A110A" w14:textId="4B29D1D5"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contrôle est opéré au moyen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d’un logiciel </w:t>
      </w:r>
      <w:r w:rsidRPr="00FE4A4E">
        <w:rPr>
          <w:rFonts w:eastAsia="Times New Roman" w:cstheme="minorHAnsi"/>
          <w:color w:val="333333"/>
          <w:sz w:val="24"/>
          <w:szCs w:val="24"/>
          <w:lang w:eastAsia="fr-FR"/>
        </w:rPr>
        <w:t>auto déclaratif</w:t>
      </w:r>
      <w:r w:rsidRPr="00FE4A4E">
        <w:rPr>
          <w:rFonts w:eastAsia="Times New Roman" w:cstheme="minorHAnsi"/>
          <w:color w:val="333333"/>
          <w:sz w:val="24"/>
          <w:szCs w:val="24"/>
          <w:lang w:eastAsia="fr-FR"/>
        </w:rPr>
        <w:t xml:space="preserve"> faisant apparaître le nombre et la date des journées travaillées, ainsi que le positionnement et la qualification des jours de repos en repos hebdomadaires, congés payés, ou congés conventionnels, etc.</w:t>
      </w:r>
      <w:proofErr w:type="gramStart"/>
      <w:r w:rsidRPr="00FE4A4E">
        <w:rPr>
          <w:rFonts w:eastAsia="Times New Roman" w:cstheme="minorHAnsi"/>
          <w:color w:val="333333"/>
          <w:sz w:val="24"/>
          <w:szCs w:val="24"/>
          <w:lang w:eastAsia="fr-FR"/>
        </w:rPr>
        <w:t>).</w:t>
      </w:r>
      <w:r>
        <w:rPr>
          <w:rFonts w:ascii="Cambria Math" w:eastAsia="Times New Roman" w:hAnsi="Cambria Math" w:cs="Cambria Math"/>
          <w:color w:val="333333"/>
          <w:sz w:val="24"/>
          <w:szCs w:val="24"/>
          <w:lang w:eastAsia="fr-FR"/>
        </w:rPr>
        <w:t>≫</w:t>
      </w:r>
      <w:proofErr w:type="gramEnd"/>
    </w:p>
    <w:p w14:paraId="4A3C6E1F" w14:textId="7777777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 document décomptant le nombre de jours travaillés devra être validé mensuellement par le responsable hiérarchique.</w:t>
      </w:r>
    </w:p>
    <w:p w14:paraId="0B596BAA" w14:textId="50E3665B"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document est établi par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préciser les modalités, outil informatique...</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622EDE4B" w14:textId="77777777" w:rsidR="00FE4A4E" w:rsidRDefault="00FE4A4E" w:rsidP="00FE4A4E">
      <w:pPr>
        <w:spacing w:after="0" w:line="240" w:lineRule="auto"/>
        <w:jc w:val="both"/>
        <w:rPr>
          <w:rFonts w:eastAsia="Times New Roman" w:cstheme="minorHAnsi"/>
          <w:color w:val="333333"/>
          <w:sz w:val="24"/>
          <w:szCs w:val="24"/>
          <w:lang w:eastAsia="fr-FR"/>
        </w:rPr>
      </w:pPr>
    </w:p>
    <w:p w14:paraId="0084086B" w14:textId="48AD735A"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il est prévu un entretien avec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le supérieur </w:t>
      </w:r>
      <w:proofErr w:type="gramStart"/>
      <w:r w:rsidRPr="00FE4A4E">
        <w:rPr>
          <w:rFonts w:eastAsia="Times New Roman" w:cstheme="minorHAnsi"/>
          <w:color w:val="333333"/>
          <w:sz w:val="24"/>
          <w:szCs w:val="24"/>
          <w:lang w:eastAsia="fr-FR"/>
        </w:rPr>
        <w:t xml:space="preserve">hiérarchique </w:t>
      </w:r>
      <w:r>
        <w:rPr>
          <w:rFonts w:eastAsia="Times New Roman" w:cstheme="minorHAnsi"/>
          <w:color w:val="333333"/>
          <w:sz w:val="24"/>
          <w:szCs w:val="24"/>
          <w:lang w:eastAsia="fr-FR"/>
        </w:rPr>
        <w:t>,</w:t>
      </w:r>
      <w:proofErr w:type="gramEnd"/>
      <w:r>
        <w:rPr>
          <w:rFonts w:eastAsia="Times New Roman" w:cstheme="minorHAnsi"/>
          <w:color w:val="333333"/>
          <w:sz w:val="24"/>
          <w:szCs w:val="24"/>
          <w:lang w:eastAsia="fr-FR"/>
        </w:rPr>
        <w:t xml:space="preserve"> le chef d’établissement</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à sa demande en cours d’année, soit en tout état de cause lors de l’entretien (trimestriel/semestriel/annuel) individuel prévu à cet effet par l’accord d’entreprise du</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lors duquel sera évoqué :</w:t>
      </w:r>
    </w:p>
    <w:p w14:paraId="2A924B3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l’organisation du travail dans l’entreprise ;</w:t>
      </w:r>
    </w:p>
    <w:p w14:paraId="32B714E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charge de travail ;</w:t>
      </w:r>
    </w:p>
    <w:p w14:paraId="60B872DD"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l’articulation entre sa vie professionnelle et sa vie familiale ;</w:t>
      </w:r>
    </w:p>
    <w:p w14:paraId="223B5414" w14:textId="392F2558" w:rsidR="00FE4A4E" w:rsidRP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rémunération ;</w:t>
      </w:r>
    </w:p>
    <w:p w14:paraId="291F79DF" w14:textId="77777777" w:rsidR="00FE4A4E" w:rsidRDefault="00FE4A4E" w:rsidP="00FE4A4E">
      <w:pPr>
        <w:spacing w:after="0" w:line="240" w:lineRule="auto"/>
        <w:jc w:val="both"/>
        <w:rPr>
          <w:rFonts w:eastAsia="Times New Roman" w:cstheme="minorHAnsi"/>
          <w:color w:val="333333"/>
          <w:sz w:val="24"/>
          <w:szCs w:val="24"/>
          <w:lang w:eastAsia="fr-FR"/>
        </w:rPr>
      </w:pPr>
    </w:p>
    <w:p w14:paraId="214EA141" w14:textId="6FB5B64C"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Un point régulier sera par ailleurs fait entre le salarié et son supérieur hiérarchique sur sa charge de travail.</w:t>
      </w:r>
    </w:p>
    <w:p w14:paraId="608CF6B4" w14:textId="237310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à organiser son emploi du temps dans le cadre de la convention de forfait annuel en jours ainsi établie, ou à maîtriser le volume du temps consacré à son activité professionnelle,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pourra à tout moment au cours de l’année solliciter un entretien avec la direction des ressources humaines afin qu’une solution opérationnelle soit trouvée.</w:t>
      </w:r>
    </w:p>
    <w:p w14:paraId="74B57D9D" w14:textId="77777777" w:rsidR="00FE4A4E" w:rsidRDefault="00FE4A4E" w:rsidP="00FE4A4E">
      <w:pPr>
        <w:spacing w:after="0" w:line="240" w:lineRule="auto"/>
        <w:jc w:val="both"/>
        <w:rPr>
          <w:rFonts w:eastAsia="Times New Roman" w:cstheme="minorHAnsi"/>
          <w:color w:val="333333"/>
          <w:sz w:val="24"/>
          <w:szCs w:val="24"/>
          <w:lang w:eastAsia="fr-FR"/>
        </w:rPr>
      </w:pPr>
    </w:p>
    <w:p w14:paraId="1F2CE15F" w14:textId="1D617771"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Fait en double exemplaire, le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à </w:t>
      </w:r>
      <w:r>
        <w:rPr>
          <w:rFonts w:ascii="Cambria Math" w:eastAsia="Times New Roman" w:hAnsi="Cambria Math" w:cs="Cambria Math"/>
          <w:color w:val="333333"/>
          <w:sz w:val="24"/>
          <w:szCs w:val="24"/>
          <w:lang w:eastAsia="fr-FR"/>
        </w:rPr>
        <w:t>≪≫</w:t>
      </w:r>
    </w:p>
    <w:p w14:paraId="462EB73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29E13F1B" w14:textId="77777777" w:rsidR="001062B6" w:rsidRPr="00FE4A4E" w:rsidRDefault="001062B6" w:rsidP="00FE4A4E">
      <w:pPr>
        <w:spacing w:after="0" w:line="240" w:lineRule="auto"/>
        <w:jc w:val="both"/>
        <w:rPr>
          <w:rFonts w:eastAsia="Times New Roman" w:cstheme="minorHAnsi"/>
          <w:color w:val="333333"/>
          <w:sz w:val="24"/>
          <w:szCs w:val="24"/>
          <w:lang w:eastAsia="fr-FR"/>
        </w:rPr>
      </w:pPr>
    </w:p>
    <w:sectPr w:rsidR="001062B6" w:rsidRPr="00FE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2643C"/>
    <w:multiLevelType w:val="hybridMultilevel"/>
    <w:tmpl w:val="880EFE9C"/>
    <w:lvl w:ilvl="0" w:tplc="DF52CC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91DCA"/>
    <w:multiLevelType w:val="multilevel"/>
    <w:tmpl w:val="0FD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734B7"/>
    <w:multiLevelType w:val="multilevel"/>
    <w:tmpl w:val="096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E"/>
    <w:rsid w:val="001062B6"/>
    <w:rsid w:val="00B53016"/>
    <w:rsid w:val="00FE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1117"/>
  <w15:chartTrackingRefBased/>
  <w15:docId w15:val="{CED6F415-8ACA-40BA-8161-967BBF0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E4A4E"/>
    <w:pPr>
      <w:keepNext/>
      <w:keepLines/>
      <w:spacing w:after="0" w:line="240" w:lineRule="auto"/>
      <w:jc w:val="both"/>
      <w:outlineLvl w:val="2"/>
    </w:pPr>
    <w:rPr>
      <w:rFonts w:eastAsiaTheme="majorEastAsia" w:cstheme="minorHAnsi"/>
      <w:b/>
      <w:bCs/>
      <w:color w:val="1F3763" w:themeColor="accent1" w:themeShade="7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E4A4E"/>
    <w:rPr>
      <w:rFonts w:eastAsiaTheme="majorEastAsia" w:cstheme="minorHAnsi"/>
      <w:b/>
      <w:bCs/>
      <w:color w:val="1F3763" w:themeColor="accent1" w:themeShade="7F"/>
      <w:sz w:val="32"/>
      <w:szCs w:val="32"/>
    </w:rPr>
  </w:style>
  <w:style w:type="paragraph" w:styleId="NormalWeb">
    <w:name w:val="Normal (Web)"/>
    <w:basedOn w:val="Normal"/>
    <w:uiPriority w:val="99"/>
    <w:semiHidden/>
    <w:unhideWhenUsed/>
    <w:rsid w:val="00FE4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FE4A4E"/>
  </w:style>
  <w:style w:type="character" w:styleId="Lienhypertexte">
    <w:name w:val="Hyperlink"/>
    <w:basedOn w:val="Policepardfaut"/>
    <w:uiPriority w:val="99"/>
    <w:semiHidden/>
    <w:unhideWhenUsed/>
    <w:rsid w:val="00FE4A4E"/>
    <w:rPr>
      <w:color w:val="0000FF"/>
      <w:u w:val="single"/>
    </w:rPr>
  </w:style>
  <w:style w:type="paragraph" w:styleId="Paragraphedeliste">
    <w:name w:val="List Paragraph"/>
    <w:basedOn w:val="Normal"/>
    <w:uiPriority w:val="34"/>
    <w:qFormat/>
    <w:rsid w:val="00FE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8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Redirection('LE0000000001_Vigente.HTML" TargetMode="External"/><Relationship Id="rId5" Type="http://schemas.openxmlformats.org/officeDocument/2006/relationships/hyperlink" Target="javascript:Redirection('LE0000000001_Vigen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3869</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2</cp:revision>
  <dcterms:created xsi:type="dcterms:W3CDTF">2021-02-11T14:58:00Z</dcterms:created>
  <dcterms:modified xsi:type="dcterms:W3CDTF">2021-02-11T15:07:00Z</dcterms:modified>
</cp:coreProperties>
</file>