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3531" w14:textId="47C89CB6" w:rsidR="001324C4" w:rsidRPr="001324C4" w:rsidRDefault="00592330" w:rsidP="001324C4">
      <w:r>
        <w:rPr>
          <w:rFonts w:eastAsiaTheme="majorEastAsia" w:cstheme="majorBidi"/>
          <w:b/>
          <w:color w:val="365F91" w:themeColor="accent1" w:themeShade="BF"/>
          <w:sz w:val="32"/>
          <w:szCs w:val="32"/>
        </w:rPr>
        <w:t>N</w:t>
      </w:r>
      <w:r w:rsidRPr="00592330">
        <w:rPr>
          <w:rFonts w:eastAsiaTheme="majorEastAsia" w:cstheme="majorBidi"/>
          <w:b/>
          <w:color w:val="365F91" w:themeColor="accent1" w:themeShade="BF"/>
          <w:sz w:val="32"/>
          <w:szCs w:val="32"/>
        </w:rPr>
        <w:t>otice d’information relative aux textes conventionnels applicables</w:t>
      </w:r>
    </w:p>
    <w:p w14:paraId="476F6674" w14:textId="77777777" w:rsidR="000C1D87" w:rsidRPr="000C1D87" w:rsidRDefault="000C1D87" w:rsidP="000C1D87">
      <w:pPr>
        <w:spacing w:after="0"/>
        <w:jc w:val="both"/>
        <w:rPr>
          <w:rFonts w:cstheme="minorHAnsi"/>
          <w:sz w:val="20"/>
          <w:szCs w:val="20"/>
        </w:rPr>
      </w:pPr>
      <w:r w:rsidRPr="000C1D87">
        <w:rPr>
          <w:rFonts w:cstheme="minorHAnsi"/>
          <w:sz w:val="20"/>
          <w:szCs w:val="20"/>
        </w:rPr>
        <w:t>Pour votre complète information, vous retrouverez dans le tableau ci-dessous la liste des conventions et accords collectifs de branche applicables dans la branche de l'enseignement privé.</w:t>
      </w:r>
    </w:p>
    <w:p w14:paraId="17BA3A2C" w14:textId="77777777" w:rsidR="000C1D87" w:rsidRPr="000C1D87" w:rsidRDefault="000C1D87" w:rsidP="000C1D87">
      <w:pPr>
        <w:jc w:val="both"/>
        <w:rPr>
          <w:rFonts w:cstheme="minorHAnsi"/>
          <w:sz w:val="20"/>
          <w:szCs w:val="20"/>
        </w:rPr>
      </w:pPr>
      <w:r w:rsidRPr="000C1D87">
        <w:rPr>
          <w:rFonts w:cstheme="minorHAnsi"/>
          <w:sz w:val="20"/>
          <w:szCs w:val="20"/>
        </w:rPr>
        <w:t>Vous retrouverez également dans cette liste les accords conclus au sein de notre établissement</w:t>
      </w:r>
      <w:r w:rsidRPr="000C1D87">
        <w:rPr>
          <w:rFonts w:cstheme="minorHAnsi"/>
          <w:sz w:val="20"/>
          <w:szCs w:val="20"/>
          <w:vertAlign w:val="superscript"/>
        </w:rPr>
        <w:footnoteReference w:id="1"/>
      </w:r>
      <w:r w:rsidRPr="000C1D87">
        <w:rPr>
          <w:rFonts w:cstheme="minorHAnsi"/>
          <w:sz w:val="20"/>
          <w:szCs w:val="20"/>
        </w:rPr>
        <w:t>.</w:t>
      </w:r>
    </w:p>
    <w:tbl>
      <w:tblPr>
        <w:tblStyle w:val="Grilledutableau11"/>
        <w:tblW w:w="5000" w:type="pct"/>
        <w:tblLayout w:type="fixed"/>
        <w:tblLook w:val="04A0" w:firstRow="1" w:lastRow="0" w:firstColumn="1" w:lastColumn="0" w:noHBand="0" w:noVBand="1"/>
      </w:tblPr>
      <w:tblGrid>
        <w:gridCol w:w="1213"/>
        <w:gridCol w:w="2767"/>
        <w:gridCol w:w="5085"/>
      </w:tblGrid>
      <w:tr w:rsidR="000C1D87" w:rsidRPr="000C1D87" w14:paraId="07333522" w14:textId="77777777" w:rsidTr="000C1D87">
        <w:tc>
          <w:tcPr>
            <w:tcW w:w="669" w:type="pct"/>
            <w:tcBorders>
              <w:top w:val="nil"/>
              <w:left w:val="nil"/>
            </w:tcBorders>
            <w:shd w:val="clear" w:color="auto" w:fill="FFFFFF"/>
          </w:tcPr>
          <w:p w14:paraId="5EEA6832" w14:textId="77777777" w:rsidR="000C1D87" w:rsidRPr="000C1D87" w:rsidRDefault="000C1D87" w:rsidP="000C1D87">
            <w:pPr>
              <w:jc w:val="center"/>
              <w:rPr>
                <w:rFonts w:cs="Calibri"/>
                <w:color w:val="FFFFFF"/>
                <w:sz w:val="16"/>
                <w:szCs w:val="16"/>
              </w:rPr>
            </w:pPr>
          </w:p>
        </w:tc>
        <w:tc>
          <w:tcPr>
            <w:tcW w:w="1526" w:type="pct"/>
            <w:shd w:val="clear" w:color="auto" w:fill="1F497D"/>
            <w:vAlign w:val="center"/>
          </w:tcPr>
          <w:p w14:paraId="61AC210D" w14:textId="77777777" w:rsidR="000C1D87" w:rsidRPr="000C1D87" w:rsidRDefault="000C1D87" w:rsidP="000C1D87">
            <w:pPr>
              <w:jc w:val="center"/>
              <w:rPr>
                <w:rFonts w:cs="Calibri"/>
                <w:b/>
                <w:color w:val="FFFFFF"/>
                <w:sz w:val="16"/>
                <w:szCs w:val="16"/>
              </w:rPr>
            </w:pPr>
            <w:r w:rsidRPr="000C1D87">
              <w:rPr>
                <w:rFonts w:cs="Calibri"/>
                <w:b/>
                <w:color w:val="FFFFFF"/>
                <w:sz w:val="16"/>
                <w:szCs w:val="16"/>
              </w:rPr>
              <w:t>Thématique</w:t>
            </w:r>
          </w:p>
        </w:tc>
        <w:tc>
          <w:tcPr>
            <w:tcW w:w="2805" w:type="pct"/>
            <w:shd w:val="clear" w:color="auto" w:fill="1F497D"/>
            <w:vAlign w:val="center"/>
          </w:tcPr>
          <w:p w14:paraId="237CD63A" w14:textId="77777777" w:rsidR="000C1D87" w:rsidRPr="000C1D87" w:rsidRDefault="000C1D87" w:rsidP="000C1D87">
            <w:pPr>
              <w:jc w:val="center"/>
              <w:rPr>
                <w:rFonts w:cs="Calibri"/>
                <w:b/>
                <w:color w:val="FFFFFF"/>
                <w:sz w:val="16"/>
                <w:szCs w:val="16"/>
              </w:rPr>
            </w:pPr>
            <w:r w:rsidRPr="000C1D87">
              <w:rPr>
                <w:rFonts w:cs="Calibri"/>
                <w:b/>
                <w:color w:val="FFFFFF"/>
                <w:sz w:val="16"/>
                <w:szCs w:val="16"/>
              </w:rPr>
              <w:t>Dénomination</w:t>
            </w:r>
          </w:p>
        </w:tc>
      </w:tr>
      <w:tr w:rsidR="000C1D87" w:rsidRPr="000C1D87" w14:paraId="374A7A82" w14:textId="77777777" w:rsidTr="000C1D87">
        <w:tc>
          <w:tcPr>
            <w:tcW w:w="669" w:type="pct"/>
            <w:vMerge w:val="restart"/>
            <w:vAlign w:val="center"/>
          </w:tcPr>
          <w:p w14:paraId="528A0675" w14:textId="77777777" w:rsidR="000C1D87" w:rsidRPr="000C1D87" w:rsidRDefault="000C1D87" w:rsidP="000C1D87">
            <w:pPr>
              <w:jc w:val="center"/>
              <w:rPr>
                <w:rFonts w:cs="Calibri"/>
                <w:b/>
                <w:color w:val="1F497D"/>
                <w:sz w:val="16"/>
                <w:szCs w:val="16"/>
              </w:rPr>
            </w:pPr>
            <w:r w:rsidRPr="000C1D87">
              <w:rPr>
                <w:rFonts w:cs="Calibri"/>
                <w:b/>
                <w:color w:val="1F497D"/>
                <w:sz w:val="16"/>
                <w:szCs w:val="16"/>
              </w:rPr>
              <w:t>Branche ou Interbranches</w:t>
            </w:r>
          </w:p>
        </w:tc>
        <w:tc>
          <w:tcPr>
            <w:tcW w:w="1526" w:type="pct"/>
            <w:vAlign w:val="center"/>
          </w:tcPr>
          <w:p w14:paraId="14269DAF" w14:textId="77777777" w:rsidR="000C1D87" w:rsidRPr="000C1D87" w:rsidRDefault="000C1D87" w:rsidP="000C1D87">
            <w:pPr>
              <w:rPr>
                <w:rFonts w:cs="Calibri"/>
                <w:b/>
                <w:color w:val="1F497D"/>
                <w:sz w:val="16"/>
                <w:szCs w:val="16"/>
              </w:rPr>
            </w:pPr>
            <w:r w:rsidRPr="000C1D87">
              <w:rPr>
                <w:rFonts w:cs="Calibri"/>
                <w:b/>
                <w:color w:val="1F497D"/>
                <w:sz w:val="16"/>
                <w:szCs w:val="16"/>
              </w:rPr>
              <w:t>Convention collective</w:t>
            </w:r>
          </w:p>
        </w:tc>
        <w:tc>
          <w:tcPr>
            <w:tcW w:w="2805" w:type="pct"/>
            <w:vAlign w:val="center"/>
          </w:tcPr>
          <w:p w14:paraId="287BFA9F" w14:textId="2AE4FA98" w:rsidR="000C1D87" w:rsidRPr="00905D39" w:rsidRDefault="007B4173" w:rsidP="000C1D87">
            <w:pPr>
              <w:rPr>
                <w:rFonts w:asciiTheme="minorHAnsi" w:hAnsiTheme="minorHAnsi" w:cs="Calibri"/>
                <w:sz w:val="16"/>
                <w:szCs w:val="16"/>
              </w:rPr>
            </w:pPr>
            <w:bookmarkStart w:id="0" w:name="_Hlk479242276"/>
            <w:r w:rsidRPr="00905D39">
              <w:rPr>
                <w:rFonts w:asciiTheme="minorHAnsi" w:hAnsiTheme="minorHAnsi" w:cs="Arial"/>
                <w:sz w:val="16"/>
                <w:szCs w:val="16"/>
              </w:rPr>
              <w:t>Convention Collective de l’enseignement privé non lucratif IDCC n°3218 (CCEPNL)</w:t>
            </w:r>
            <w:bookmarkEnd w:id="0"/>
          </w:p>
        </w:tc>
      </w:tr>
      <w:tr w:rsidR="000C1D87" w:rsidRPr="000C1D87" w14:paraId="2B043C56" w14:textId="77777777" w:rsidTr="000C1D87">
        <w:tc>
          <w:tcPr>
            <w:tcW w:w="669" w:type="pct"/>
            <w:vMerge/>
          </w:tcPr>
          <w:p w14:paraId="3F4A9169" w14:textId="77777777" w:rsidR="000C1D87" w:rsidRPr="000C1D87" w:rsidRDefault="000C1D87" w:rsidP="000C1D87">
            <w:pPr>
              <w:rPr>
                <w:rFonts w:cs="Calibri"/>
                <w:b/>
                <w:color w:val="1F497D"/>
                <w:sz w:val="16"/>
                <w:szCs w:val="16"/>
              </w:rPr>
            </w:pPr>
          </w:p>
        </w:tc>
        <w:tc>
          <w:tcPr>
            <w:tcW w:w="1526" w:type="pct"/>
            <w:vMerge w:val="restart"/>
            <w:vAlign w:val="center"/>
          </w:tcPr>
          <w:p w14:paraId="2AB94E39" w14:textId="77777777" w:rsidR="000C1D87" w:rsidRPr="000C1D87" w:rsidRDefault="000C1D87" w:rsidP="000C1D87">
            <w:pPr>
              <w:rPr>
                <w:rFonts w:cs="Calibri"/>
                <w:b/>
                <w:color w:val="1F497D"/>
                <w:sz w:val="16"/>
                <w:szCs w:val="16"/>
              </w:rPr>
            </w:pPr>
            <w:r w:rsidRPr="000C1D87">
              <w:rPr>
                <w:rFonts w:cs="Calibri"/>
                <w:b/>
                <w:color w:val="1F497D"/>
                <w:sz w:val="16"/>
                <w:szCs w:val="16"/>
              </w:rPr>
              <w:t xml:space="preserve">Durée du travail </w:t>
            </w:r>
          </w:p>
        </w:tc>
        <w:tc>
          <w:tcPr>
            <w:tcW w:w="2805" w:type="pct"/>
            <w:vAlign w:val="center"/>
          </w:tcPr>
          <w:p w14:paraId="21FABBD2" w14:textId="77777777" w:rsidR="000C1D87" w:rsidRPr="000C1D87" w:rsidRDefault="000C1D87" w:rsidP="000C1D87">
            <w:pPr>
              <w:rPr>
                <w:rFonts w:cs="Calibri"/>
                <w:sz w:val="16"/>
                <w:szCs w:val="16"/>
              </w:rPr>
            </w:pPr>
            <w:r w:rsidRPr="000C1D87">
              <w:rPr>
                <w:rFonts w:cs="Calibri"/>
                <w:sz w:val="16"/>
                <w:szCs w:val="16"/>
              </w:rPr>
              <w:t>Accord relatif à la réduction de la durée effective et à l’aménagement du temps de travail dans l’enseignement privé sous contrat du 15 juin 1999 modifié le 31 janvier 2007</w:t>
            </w:r>
          </w:p>
        </w:tc>
      </w:tr>
      <w:tr w:rsidR="000C1D87" w:rsidRPr="000C1D87" w14:paraId="196BEA07" w14:textId="77777777" w:rsidTr="000C1D87">
        <w:tc>
          <w:tcPr>
            <w:tcW w:w="669" w:type="pct"/>
            <w:vMerge/>
          </w:tcPr>
          <w:p w14:paraId="5C8B68F0" w14:textId="77777777" w:rsidR="000C1D87" w:rsidRPr="000C1D87" w:rsidRDefault="000C1D87" w:rsidP="000C1D87">
            <w:pPr>
              <w:rPr>
                <w:rFonts w:cs="Calibri"/>
                <w:b/>
                <w:color w:val="1F497D"/>
                <w:sz w:val="16"/>
                <w:szCs w:val="16"/>
              </w:rPr>
            </w:pPr>
          </w:p>
        </w:tc>
        <w:tc>
          <w:tcPr>
            <w:tcW w:w="1526" w:type="pct"/>
            <w:vMerge/>
            <w:vAlign w:val="center"/>
          </w:tcPr>
          <w:p w14:paraId="6B4593C7" w14:textId="77777777" w:rsidR="000C1D87" w:rsidRPr="000C1D87" w:rsidRDefault="000C1D87" w:rsidP="000C1D87">
            <w:pPr>
              <w:rPr>
                <w:rFonts w:cs="Calibri"/>
                <w:b/>
                <w:sz w:val="16"/>
                <w:szCs w:val="16"/>
              </w:rPr>
            </w:pPr>
          </w:p>
        </w:tc>
        <w:tc>
          <w:tcPr>
            <w:tcW w:w="2805" w:type="pct"/>
            <w:vAlign w:val="center"/>
          </w:tcPr>
          <w:p w14:paraId="67433C44" w14:textId="77777777" w:rsidR="000C1D87" w:rsidRPr="000C1D87" w:rsidRDefault="000C1D87" w:rsidP="000C1D87">
            <w:pPr>
              <w:rPr>
                <w:rFonts w:cs="Calibri"/>
                <w:sz w:val="16"/>
                <w:szCs w:val="16"/>
              </w:rPr>
            </w:pPr>
            <w:r w:rsidRPr="000C1D87">
              <w:rPr>
                <w:rFonts w:cs="Calibri"/>
                <w:sz w:val="16"/>
                <w:szCs w:val="16"/>
              </w:rPr>
              <w:t>Accord de branche relatif au travail de nuit dans l’enseignement privé sous contrat du 2 juillet 2002 révisé le 31 janvier 2007</w:t>
            </w:r>
          </w:p>
        </w:tc>
      </w:tr>
      <w:tr w:rsidR="000C1D87" w:rsidRPr="000C1D87" w14:paraId="1EEB1F1F" w14:textId="77777777" w:rsidTr="000C1D87">
        <w:tc>
          <w:tcPr>
            <w:tcW w:w="669" w:type="pct"/>
            <w:vMerge/>
          </w:tcPr>
          <w:p w14:paraId="5BFDC28B" w14:textId="77777777" w:rsidR="000C1D87" w:rsidRPr="000C1D87" w:rsidRDefault="000C1D87" w:rsidP="000C1D87">
            <w:pPr>
              <w:rPr>
                <w:rFonts w:cs="Calibri"/>
                <w:b/>
                <w:color w:val="1F497D"/>
                <w:sz w:val="16"/>
                <w:szCs w:val="16"/>
              </w:rPr>
            </w:pPr>
          </w:p>
        </w:tc>
        <w:tc>
          <w:tcPr>
            <w:tcW w:w="1526" w:type="pct"/>
            <w:vMerge/>
            <w:vAlign w:val="center"/>
          </w:tcPr>
          <w:p w14:paraId="311D2A96" w14:textId="77777777" w:rsidR="000C1D87" w:rsidRPr="000C1D87" w:rsidRDefault="000C1D87" w:rsidP="000C1D87">
            <w:pPr>
              <w:rPr>
                <w:rFonts w:cs="Calibri"/>
                <w:b/>
                <w:sz w:val="16"/>
                <w:szCs w:val="16"/>
              </w:rPr>
            </w:pPr>
          </w:p>
        </w:tc>
        <w:tc>
          <w:tcPr>
            <w:tcW w:w="2805" w:type="pct"/>
            <w:vAlign w:val="center"/>
          </w:tcPr>
          <w:p w14:paraId="46F77909" w14:textId="77777777" w:rsidR="000C1D87" w:rsidRPr="000C1D87" w:rsidRDefault="000C1D87" w:rsidP="000C1D87">
            <w:pPr>
              <w:rPr>
                <w:rFonts w:cs="Calibri"/>
                <w:sz w:val="16"/>
                <w:szCs w:val="16"/>
              </w:rPr>
            </w:pPr>
            <w:r w:rsidRPr="000C1D87">
              <w:rPr>
                <w:rFonts w:cs="Calibri"/>
                <w:sz w:val="16"/>
                <w:szCs w:val="16"/>
              </w:rPr>
              <w:t>Accord de branche sur les équivalences de nuit dans l’enseignement privé sous contrat du 31 janvier 2007</w:t>
            </w:r>
          </w:p>
        </w:tc>
      </w:tr>
      <w:tr w:rsidR="000C1D87" w:rsidRPr="000C1D87" w14:paraId="118E5D48" w14:textId="77777777" w:rsidTr="000C1D87">
        <w:tc>
          <w:tcPr>
            <w:tcW w:w="669" w:type="pct"/>
            <w:vMerge/>
          </w:tcPr>
          <w:p w14:paraId="3D159B5D" w14:textId="77777777" w:rsidR="000C1D87" w:rsidRPr="000C1D87" w:rsidRDefault="000C1D87" w:rsidP="000C1D87">
            <w:pPr>
              <w:rPr>
                <w:rFonts w:cs="Calibri"/>
                <w:b/>
                <w:color w:val="1F497D"/>
                <w:sz w:val="16"/>
                <w:szCs w:val="16"/>
              </w:rPr>
            </w:pPr>
          </w:p>
        </w:tc>
        <w:tc>
          <w:tcPr>
            <w:tcW w:w="1526" w:type="pct"/>
            <w:vMerge/>
            <w:vAlign w:val="center"/>
          </w:tcPr>
          <w:p w14:paraId="00F613FC" w14:textId="77777777" w:rsidR="000C1D87" w:rsidRPr="000C1D87" w:rsidRDefault="000C1D87" w:rsidP="000C1D87">
            <w:pPr>
              <w:rPr>
                <w:rFonts w:cs="Calibri"/>
                <w:b/>
                <w:sz w:val="16"/>
                <w:szCs w:val="16"/>
              </w:rPr>
            </w:pPr>
          </w:p>
        </w:tc>
        <w:tc>
          <w:tcPr>
            <w:tcW w:w="2805" w:type="pct"/>
            <w:vAlign w:val="center"/>
          </w:tcPr>
          <w:p w14:paraId="7B694BD0" w14:textId="77777777" w:rsidR="000C1D87" w:rsidRPr="000C1D87" w:rsidRDefault="000C1D87" w:rsidP="000C1D87">
            <w:pPr>
              <w:rPr>
                <w:rFonts w:cs="Calibri"/>
                <w:sz w:val="16"/>
                <w:szCs w:val="16"/>
              </w:rPr>
            </w:pPr>
            <w:r w:rsidRPr="000C1D87">
              <w:rPr>
                <w:rFonts w:cs="Calibri"/>
                <w:sz w:val="16"/>
                <w:szCs w:val="16"/>
              </w:rPr>
              <w:t>Accord sur le temps partiel du 18 octobre 2013 révisé le 10 mars 2015</w:t>
            </w:r>
          </w:p>
        </w:tc>
      </w:tr>
      <w:tr w:rsidR="000C1D87" w:rsidRPr="000C1D87" w14:paraId="2550177F" w14:textId="77777777" w:rsidTr="000C1D87">
        <w:tc>
          <w:tcPr>
            <w:tcW w:w="669" w:type="pct"/>
            <w:vMerge/>
          </w:tcPr>
          <w:p w14:paraId="1D9D55C5" w14:textId="77777777" w:rsidR="000C1D87" w:rsidRPr="000C1D87" w:rsidRDefault="000C1D87" w:rsidP="000C1D87">
            <w:pPr>
              <w:rPr>
                <w:rFonts w:cs="Calibri"/>
                <w:b/>
                <w:color w:val="1F497D"/>
                <w:sz w:val="16"/>
                <w:szCs w:val="16"/>
              </w:rPr>
            </w:pPr>
          </w:p>
        </w:tc>
        <w:tc>
          <w:tcPr>
            <w:tcW w:w="1526" w:type="pct"/>
            <w:vMerge w:val="restart"/>
            <w:vAlign w:val="center"/>
          </w:tcPr>
          <w:p w14:paraId="37F02C67" w14:textId="77777777" w:rsidR="000C1D87" w:rsidRPr="000C1D87" w:rsidRDefault="000C1D87" w:rsidP="000C1D87">
            <w:pPr>
              <w:rPr>
                <w:rFonts w:cs="Calibri"/>
                <w:b/>
                <w:color w:val="1F497D"/>
                <w:sz w:val="16"/>
                <w:szCs w:val="16"/>
              </w:rPr>
            </w:pPr>
            <w:r w:rsidRPr="000C1D87">
              <w:rPr>
                <w:rFonts w:cs="Calibri"/>
                <w:b/>
                <w:color w:val="1F497D"/>
                <w:sz w:val="16"/>
                <w:szCs w:val="16"/>
              </w:rPr>
              <w:t>Formation professionnelle</w:t>
            </w:r>
          </w:p>
          <w:p w14:paraId="13E429FC" w14:textId="77777777" w:rsidR="000C1D87" w:rsidRPr="000C1D87" w:rsidRDefault="000C1D87" w:rsidP="000C1D87">
            <w:pPr>
              <w:rPr>
                <w:rFonts w:cs="Calibri"/>
                <w:b/>
                <w:color w:val="1F497D"/>
                <w:sz w:val="16"/>
                <w:szCs w:val="16"/>
              </w:rPr>
            </w:pPr>
            <w:r w:rsidRPr="000C1D87">
              <w:rPr>
                <w:b/>
                <w:noProof/>
                <w:color w:val="1F497D"/>
                <w:sz w:val="16"/>
                <w:szCs w:val="16"/>
              </w:rPr>
              <w:drawing>
                <wp:inline distT="0" distB="0" distL="0" distR="0" wp14:anchorId="3B2A1786" wp14:editId="58D53390">
                  <wp:extent cx="416169" cy="401819"/>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5665" cy="410987"/>
                          </a:xfrm>
                          <a:prstGeom prst="rect">
                            <a:avLst/>
                          </a:prstGeom>
                        </pic:spPr>
                      </pic:pic>
                    </a:graphicData>
                  </a:graphic>
                </wp:inline>
              </w:drawing>
            </w:r>
          </w:p>
        </w:tc>
        <w:tc>
          <w:tcPr>
            <w:tcW w:w="2805" w:type="pct"/>
            <w:vAlign w:val="center"/>
          </w:tcPr>
          <w:p w14:paraId="332B75B9" w14:textId="77777777" w:rsidR="000C1D87" w:rsidRPr="000C1D87" w:rsidRDefault="000C1D87" w:rsidP="000C1D87">
            <w:pPr>
              <w:rPr>
                <w:rFonts w:cs="Calibri"/>
                <w:sz w:val="16"/>
                <w:szCs w:val="16"/>
              </w:rPr>
            </w:pPr>
            <w:proofErr w:type="gramStart"/>
            <w:r w:rsidRPr="000C1D87">
              <w:rPr>
                <w:rFonts w:cs="Calibri"/>
                <w:sz w:val="16"/>
                <w:szCs w:val="16"/>
              </w:rPr>
              <w:t>Accord interbranches</w:t>
            </w:r>
            <w:proofErr w:type="gramEnd"/>
            <w:r w:rsidRPr="000C1D87">
              <w:rPr>
                <w:rFonts w:cs="Calibri"/>
                <w:sz w:val="16"/>
                <w:szCs w:val="16"/>
              </w:rPr>
              <w:t xml:space="preserve"> sur l’emploi et la formation professionnelle dans les établissements d’’enseignement privé du 3 novembre 2015</w:t>
            </w:r>
          </w:p>
        </w:tc>
      </w:tr>
      <w:tr w:rsidR="000C1D87" w:rsidRPr="000C1D87" w14:paraId="272C3378" w14:textId="77777777" w:rsidTr="000C1D87">
        <w:tc>
          <w:tcPr>
            <w:tcW w:w="669" w:type="pct"/>
            <w:vMerge/>
          </w:tcPr>
          <w:p w14:paraId="0CA21C16" w14:textId="77777777" w:rsidR="000C1D87" w:rsidRPr="000C1D87" w:rsidRDefault="000C1D87" w:rsidP="000C1D87">
            <w:pPr>
              <w:rPr>
                <w:rFonts w:cs="Calibri"/>
                <w:b/>
                <w:color w:val="1F497D"/>
                <w:sz w:val="16"/>
                <w:szCs w:val="16"/>
              </w:rPr>
            </w:pPr>
          </w:p>
        </w:tc>
        <w:tc>
          <w:tcPr>
            <w:tcW w:w="1526" w:type="pct"/>
            <w:vMerge/>
            <w:vAlign w:val="center"/>
          </w:tcPr>
          <w:p w14:paraId="421C2D44" w14:textId="77777777" w:rsidR="000C1D87" w:rsidRPr="000C1D87" w:rsidRDefault="000C1D87" w:rsidP="000C1D87">
            <w:pPr>
              <w:rPr>
                <w:rFonts w:cs="Calibri"/>
                <w:b/>
                <w:color w:val="1F497D"/>
                <w:sz w:val="16"/>
                <w:szCs w:val="16"/>
              </w:rPr>
            </w:pPr>
          </w:p>
        </w:tc>
        <w:tc>
          <w:tcPr>
            <w:tcW w:w="2805" w:type="pct"/>
            <w:vAlign w:val="center"/>
          </w:tcPr>
          <w:p w14:paraId="4E016929" w14:textId="77777777" w:rsidR="000C1D87" w:rsidRPr="000C1D87" w:rsidRDefault="000C1D87" w:rsidP="000C1D87">
            <w:pPr>
              <w:rPr>
                <w:rFonts w:cs="Calibri"/>
                <w:sz w:val="16"/>
                <w:szCs w:val="16"/>
              </w:rPr>
            </w:pPr>
            <w:r w:rsidRPr="000C1D87">
              <w:rPr>
                <w:rFonts w:cs="Calibri"/>
                <w:sz w:val="16"/>
                <w:szCs w:val="16"/>
              </w:rPr>
              <w:t>Accord relatif à la désignation d'un OPCA par la branche des établissements d'enseignement privé sous contrat du 27 juin 2011</w:t>
            </w:r>
          </w:p>
        </w:tc>
      </w:tr>
      <w:tr w:rsidR="000C1D87" w:rsidRPr="000C1D87" w14:paraId="1069B9D3" w14:textId="77777777" w:rsidTr="000C1D87">
        <w:tc>
          <w:tcPr>
            <w:tcW w:w="669" w:type="pct"/>
            <w:vMerge/>
          </w:tcPr>
          <w:p w14:paraId="65BF59CF" w14:textId="77777777" w:rsidR="000C1D87" w:rsidRPr="000C1D87" w:rsidRDefault="000C1D87" w:rsidP="000C1D87">
            <w:pPr>
              <w:rPr>
                <w:rFonts w:cs="Calibri"/>
                <w:b/>
                <w:color w:val="1F497D"/>
                <w:sz w:val="16"/>
                <w:szCs w:val="16"/>
              </w:rPr>
            </w:pPr>
          </w:p>
        </w:tc>
        <w:tc>
          <w:tcPr>
            <w:tcW w:w="1526" w:type="pct"/>
            <w:vMerge/>
            <w:vAlign w:val="center"/>
          </w:tcPr>
          <w:p w14:paraId="78E54485" w14:textId="77777777" w:rsidR="000C1D87" w:rsidRPr="000C1D87" w:rsidRDefault="000C1D87" w:rsidP="000C1D87">
            <w:pPr>
              <w:rPr>
                <w:rFonts w:cs="Calibri"/>
                <w:b/>
                <w:color w:val="1F497D"/>
                <w:sz w:val="16"/>
                <w:szCs w:val="16"/>
              </w:rPr>
            </w:pPr>
          </w:p>
        </w:tc>
        <w:tc>
          <w:tcPr>
            <w:tcW w:w="2805" w:type="pct"/>
            <w:vAlign w:val="center"/>
          </w:tcPr>
          <w:p w14:paraId="0E8298DB" w14:textId="77777777" w:rsidR="000C1D87" w:rsidRPr="000C1D87" w:rsidRDefault="000C1D87" w:rsidP="000C1D87">
            <w:pPr>
              <w:rPr>
                <w:rFonts w:cs="Calibri"/>
                <w:sz w:val="16"/>
                <w:szCs w:val="16"/>
              </w:rPr>
            </w:pPr>
            <w:r w:rsidRPr="000C1D87">
              <w:rPr>
                <w:rFonts w:cs="Calibri"/>
                <w:sz w:val="16"/>
                <w:szCs w:val="16"/>
              </w:rPr>
              <w:t>CQP éducateur de vie scolaire</w:t>
            </w:r>
          </w:p>
          <w:p w14:paraId="432ECAD2" w14:textId="77777777" w:rsidR="000C1D87" w:rsidRPr="000C1D87" w:rsidRDefault="000C1D87" w:rsidP="000C1D87">
            <w:pPr>
              <w:numPr>
                <w:ilvl w:val="0"/>
                <w:numId w:val="21"/>
              </w:numPr>
              <w:rPr>
                <w:rFonts w:cs="Calibri"/>
                <w:sz w:val="16"/>
                <w:szCs w:val="16"/>
              </w:rPr>
            </w:pPr>
            <w:proofErr w:type="gramStart"/>
            <w:r w:rsidRPr="000C1D87">
              <w:rPr>
                <w:rFonts w:cs="Calibri"/>
                <w:sz w:val="16"/>
                <w:szCs w:val="16"/>
              </w:rPr>
              <w:t>accord</w:t>
            </w:r>
            <w:proofErr w:type="gramEnd"/>
            <w:r w:rsidRPr="000C1D87">
              <w:rPr>
                <w:rFonts w:cs="Calibri"/>
                <w:sz w:val="16"/>
                <w:szCs w:val="16"/>
              </w:rPr>
              <w:t xml:space="preserve"> de création du 5 juin 2014</w:t>
            </w:r>
          </w:p>
          <w:p w14:paraId="7527BC24" w14:textId="77777777" w:rsidR="000C1D87" w:rsidRPr="000C1D87" w:rsidRDefault="000C1D87" w:rsidP="000C1D87">
            <w:pPr>
              <w:numPr>
                <w:ilvl w:val="0"/>
                <w:numId w:val="21"/>
              </w:numPr>
              <w:rPr>
                <w:rFonts w:cs="Calibri"/>
                <w:sz w:val="16"/>
                <w:szCs w:val="16"/>
              </w:rPr>
            </w:pPr>
            <w:proofErr w:type="gramStart"/>
            <w:r w:rsidRPr="000C1D87">
              <w:rPr>
                <w:rFonts w:cs="Calibri"/>
                <w:sz w:val="16"/>
                <w:szCs w:val="16"/>
              </w:rPr>
              <w:t>accord</w:t>
            </w:r>
            <w:proofErr w:type="gramEnd"/>
            <w:r w:rsidRPr="000C1D87">
              <w:rPr>
                <w:rFonts w:cs="Calibri"/>
                <w:sz w:val="16"/>
                <w:szCs w:val="16"/>
              </w:rPr>
              <w:t xml:space="preserve"> sur la classification du 25 février 2014</w:t>
            </w:r>
          </w:p>
        </w:tc>
      </w:tr>
      <w:tr w:rsidR="000C1D87" w:rsidRPr="000C1D87" w14:paraId="383BACCB" w14:textId="77777777" w:rsidTr="000C1D87">
        <w:tc>
          <w:tcPr>
            <w:tcW w:w="669" w:type="pct"/>
            <w:vMerge/>
          </w:tcPr>
          <w:p w14:paraId="430A9A29" w14:textId="77777777" w:rsidR="000C1D87" w:rsidRPr="000C1D87" w:rsidRDefault="000C1D87" w:rsidP="000C1D87">
            <w:pPr>
              <w:rPr>
                <w:rFonts w:cs="Calibri"/>
                <w:b/>
                <w:color w:val="1F497D"/>
                <w:sz w:val="16"/>
                <w:szCs w:val="16"/>
              </w:rPr>
            </w:pPr>
          </w:p>
        </w:tc>
        <w:tc>
          <w:tcPr>
            <w:tcW w:w="1526" w:type="pct"/>
            <w:vMerge/>
            <w:vAlign w:val="center"/>
          </w:tcPr>
          <w:p w14:paraId="08C8EDD1" w14:textId="77777777" w:rsidR="000C1D87" w:rsidRPr="000C1D87" w:rsidRDefault="000C1D87" w:rsidP="000C1D87">
            <w:pPr>
              <w:rPr>
                <w:rFonts w:cs="Calibri"/>
                <w:b/>
                <w:color w:val="1F497D"/>
                <w:sz w:val="16"/>
                <w:szCs w:val="16"/>
              </w:rPr>
            </w:pPr>
          </w:p>
        </w:tc>
        <w:tc>
          <w:tcPr>
            <w:tcW w:w="2805" w:type="pct"/>
            <w:vAlign w:val="center"/>
          </w:tcPr>
          <w:p w14:paraId="1F581304" w14:textId="77777777" w:rsidR="000C1D87" w:rsidRPr="000C1D87" w:rsidRDefault="000C1D87" w:rsidP="000C1D87">
            <w:pPr>
              <w:rPr>
                <w:rFonts w:cs="Calibri"/>
                <w:sz w:val="16"/>
                <w:szCs w:val="16"/>
              </w:rPr>
            </w:pPr>
            <w:r w:rsidRPr="000C1D87">
              <w:rPr>
                <w:rFonts w:cs="Calibri"/>
                <w:sz w:val="16"/>
                <w:szCs w:val="16"/>
              </w:rPr>
              <w:t>CQP coordinateur de vie scolaire</w:t>
            </w:r>
          </w:p>
          <w:p w14:paraId="10DE3AC0" w14:textId="77777777" w:rsidR="000C1D87" w:rsidRPr="000C1D87" w:rsidRDefault="000C1D87" w:rsidP="000C1D87">
            <w:pPr>
              <w:numPr>
                <w:ilvl w:val="0"/>
                <w:numId w:val="21"/>
              </w:numPr>
              <w:rPr>
                <w:rFonts w:cs="Calibri"/>
                <w:sz w:val="16"/>
                <w:szCs w:val="16"/>
              </w:rPr>
            </w:pPr>
            <w:proofErr w:type="gramStart"/>
            <w:r w:rsidRPr="000C1D87">
              <w:rPr>
                <w:rFonts w:cs="Calibri"/>
                <w:sz w:val="16"/>
                <w:szCs w:val="16"/>
              </w:rPr>
              <w:t>accord</w:t>
            </w:r>
            <w:proofErr w:type="gramEnd"/>
            <w:r w:rsidRPr="000C1D87">
              <w:rPr>
                <w:rFonts w:cs="Calibri"/>
                <w:sz w:val="16"/>
                <w:szCs w:val="16"/>
              </w:rPr>
              <w:t xml:space="preserve"> de création du 2 juin 2015</w:t>
            </w:r>
          </w:p>
          <w:p w14:paraId="3880975D" w14:textId="77777777" w:rsidR="000C1D87" w:rsidRPr="000C1D87" w:rsidRDefault="000C1D87" w:rsidP="000C1D87">
            <w:pPr>
              <w:numPr>
                <w:ilvl w:val="0"/>
                <w:numId w:val="21"/>
              </w:numPr>
              <w:rPr>
                <w:rFonts w:cs="Calibri"/>
                <w:sz w:val="16"/>
                <w:szCs w:val="16"/>
              </w:rPr>
            </w:pPr>
            <w:proofErr w:type="gramStart"/>
            <w:r w:rsidRPr="000C1D87">
              <w:rPr>
                <w:rFonts w:cs="Calibri"/>
                <w:sz w:val="16"/>
                <w:szCs w:val="16"/>
              </w:rPr>
              <w:t>accord</w:t>
            </w:r>
            <w:proofErr w:type="gramEnd"/>
            <w:r w:rsidRPr="000C1D87">
              <w:rPr>
                <w:rFonts w:cs="Calibri"/>
                <w:sz w:val="16"/>
                <w:szCs w:val="16"/>
              </w:rPr>
              <w:t xml:space="preserve"> sur la classification du 18 novembre 2014</w:t>
            </w:r>
          </w:p>
        </w:tc>
      </w:tr>
      <w:tr w:rsidR="000C1D87" w:rsidRPr="000C1D87" w14:paraId="11C639CE" w14:textId="77777777" w:rsidTr="000C1D87">
        <w:tc>
          <w:tcPr>
            <w:tcW w:w="669" w:type="pct"/>
            <w:vMerge/>
          </w:tcPr>
          <w:p w14:paraId="6460B1B3" w14:textId="77777777" w:rsidR="000C1D87" w:rsidRPr="000C1D87" w:rsidRDefault="000C1D87" w:rsidP="000C1D87">
            <w:pPr>
              <w:rPr>
                <w:rFonts w:cs="Calibri"/>
                <w:b/>
                <w:color w:val="1F497D"/>
                <w:sz w:val="16"/>
                <w:szCs w:val="16"/>
              </w:rPr>
            </w:pPr>
          </w:p>
        </w:tc>
        <w:tc>
          <w:tcPr>
            <w:tcW w:w="1526" w:type="pct"/>
            <w:vMerge/>
            <w:vAlign w:val="center"/>
          </w:tcPr>
          <w:p w14:paraId="6C8E0494" w14:textId="77777777" w:rsidR="000C1D87" w:rsidRPr="000C1D87" w:rsidRDefault="000C1D87" w:rsidP="000C1D87">
            <w:pPr>
              <w:rPr>
                <w:rFonts w:cs="Calibri"/>
                <w:b/>
                <w:color w:val="1F497D"/>
                <w:sz w:val="16"/>
                <w:szCs w:val="16"/>
              </w:rPr>
            </w:pPr>
          </w:p>
        </w:tc>
        <w:tc>
          <w:tcPr>
            <w:tcW w:w="2805" w:type="pct"/>
            <w:vAlign w:val="center"/>
          </w:tcPr>
          <w:p w14:paraId="1F5298D4" w14:textId="77777777" w:rsidR="000C1D87" w:rsidRPr="000C1D87" w:rsidRDefault="000C1D87" w:rsidP="000C1D87">
            <w:pPr>
              <w:rPr>
                <w:rFonts w:cs="Calibri"/>
                <w:sz w:val="16"/>
                <w:szCs w:val="16"/>
              </w:rPr>
            </w:pPr>
            <w:r w:rsidRPr="000C1D87">
              <w:rPr>
                <w:rFonts w:cs="Calibri"/>
                <w:sz w:val="16"/>
                <w:szCs w:val="16"/>
              </w:rPr>
              <w:t>Titre « d’expert en organisation des établissements éducatifs et scolaires et ou de formation »</w:t>
            </w:r>
            <w:r w:rsidRPr="000C1D87">
              <w:rPr>
                <w:rFonts w:cs="Calibri"/>
                <w:sz w:val="16"/>
                <w:szCs w:val="16"/>
                <w:vertAlign w:val="superscript"/>
              </w:rPr>
              <w:footnoteReference w:id="2"/>
            </w:r>
          </w:p>
          <w:p w14:paraId="3EBDC89E" w14:textId="77777777" w:rsidR="000C1D87" w:rsidRPr="000C1D87" w:rsidRDefault="000C1D87" w:rsidP="000C1D87">
            <w:pPr>
              <w:numPr>
                <w:ilvl w:val="0"/>
                <w:numId w:val="21"/>
              </w:numPr>
              <w:rPr>
                <w:rFonts w:cs="Calibri"/>
                <w:sz w:val="16"/>
                <w:szCs w:val="16"/>
              </w:rPr>
            </w:pPr>
            <w:proofErr w:type="gramStart"/>
            <w:r w:rsidRPr="000C1D87">
              <w:rPr>
                <w:rFonts w:cs="Calibri"/>
                <w:sz w:val="16"/>
                <w:szCs w:val="16"/>
              </w:rPr>
              <w:t>accord</w:t>
            </w:r>
            <w:proofErr w:type="gramEnd"/>
            <w:r w:rsidRPr="000C1D87">
              <w:rPr>
                <w:rFonts w:cs="Calibri"/>
                <w:sz w:val="16"/>
                <w:szCs w:val="16"/>
              </w:rPr>
              <w:t xml:space="preserve"> déterminant le niveau de classification du 18 novembre 2014</w:t>
            </w:r>
          </w:p>
        </w:tc>
      </w:tr>
      <w:tr w:rsidR="000C1D87" w:rsidRPr="000C1D87" w14:paraId="31DC2A11" w14:textId="77777777" w:rsidTr="000C1D87">
        <w:tc>
          <w:tcPr>
            <w:tcW w:w="669" w:type="pct"/>
            <w:vMerge/>
          </w:tcPr>
          <w:p w14:paraId="7CA45698" w14:textId="77777777" w:rsidR="000C1D87" w:rsidRPr="000C1D87" w:rsidRDefault="000C1D87" w:rsidP="000C1D87">
            <w:pPr>
              <w:rPr>
                <w:rFonts w:cs="Calibri"/>
                <w:b/>
                <w:color w:val="1F497D"/>
                <w:sz w:val="16"/>
                <w:szCs w:val="16"/>
              </w:rPr>
            </w:pPr>
          </w:p>
        </w:tc>
        <w:tc>
          <w:tcPr>
            <w:tcW w:w="1526" w:type="pct"/>
            <w:vMerge w:val="restart"/>
            <w:vAlign w:val="center"/>
          </w:tcPr>
          <w:p w14:paraId="479AFF5A" w14:textId="77777777" w:rsidR="000C1D87" w:rsidRPr="000C1D87" w:rsidRDefault="000C1D87" w:rsidP="000C1D87">
            <w:pPr>
              <w:rPr>
                <w:rFonts w:cs="Calibri"/>
                <w:b/>
                <w:color w:val="1F497D"/>
                <w:sz w:val="16"/>
                <w:szCs w:val="16"/>
              </w:rPr>
            </w:pPr>
            <w:r w:rsidRPr="000C1D87">
              <w:rPr>
                <w:rFonts w:cs="Calibri"/>
                <w:b/>
                <w:color w:val="1F497D"/>
                <w:sz w:val="16"/>
                <w:szCs w:val="16"/>
              </w:rPr>
              <w:t xml:space="preserve">Protection sociale </w:t>
            </w:r>
          </w:p>
          <w:p w14:paraId="2042FC89" w14:textId="77777777" w:rsidR="000C1D87" w:rsidRPr="000C1D87" w:rsidRDefault="000C1D87" w:rsidP="000C1D87">
            <w:pPr>
              <w:ind w:left="-108"/>
              <w:rPr>
                <w:rFonts w:cs="Calibri"/>
                <w:b/>
                <w:color w:val="1F497D"/>
                <w:sz w:val="16"/>
                <w:szCs w:val="16"/>
              </w:rPr>
            </w:pPr>
            <w:r w:rsidRPr="000C1D87">
              <w:rPr>
                <w:noProof/>
              </w:rPr>
              <w:drawing>
                <wp:inline distT="0" distB="0" distL="0" distR="0" wp14:anchorId="06280AE2" wp14:editId="49364556">
                  <wp:extent cx="1789200" cy="468000"/>
                  <wp:effectExtent l="0" t="0" r="190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89200" cy="468000"/>
                          </a:xfrm>
                          <a:prstGeom prst="rect">
                            <a:avLst/>
                          </a:prstGeom>
                        </pic:spPr>
                      </pic:pic>
                    </a:graphicData>
                  </a:graphic>
                </wp:inline>
              </w:drawing>
            </w:r>
          </w:p>
        </w:tc>
        <w:tc>
          <w:tcPr>
            <w:tcW w:w="2805" w:type="pct"/>
            <w:vAlign w:val="center"/>
          </w:tcPr>
          <w:p w14:paraId="44DEC945" w14:textId="77777777" w:rsidR="000C1D87" w:rsidRPr="000C1D87" w:rsidRDefault="000C1D87" w:rsidP="000C1D87">
            <w:pPr>
              <w:rPr>
                <w:rFonts w:cs="Calibri"/>
                <w:sz w:val="16"/>
                <w:szCs w:val="16"/>
              </w:rPr>
            </w:pPr>
            <w:r w:rsidRPr="000C1D87">
              <w:rPr>
                <w:rFonts w:cs="Calibri"/>
                <w:sz w:val="16"/>
                <w:szCs w:val="16"/>
              </w:rPr>
              <w:t xml:space="preserve">Accords collectifs relatifs aux régimes de prévoyance des personnels </w:t>
            </w:r>
            <w:proofErr w:type="gramStart"/>
            <w:r w:rsidRPr="000C1D87">
              <w:rPr>
                <w:rFonts w:cs="Calibri"/>
                <w:sz w:val="16"/>
                <w:szCs w:val="16"/>
              </w:rPr>
              <w:t>non cadres</w:t>
            </w:r>
            <w:proofErr w:type="gramEnd"/>
            <w:r w:rsidRPr="000C1D87">
              <w:rPr>
                <w:rFonts w:cs="Calibri"/>
                <w:sz w:val="16"/>
                <w:szCs w:val="16"/>
              </w:rPr>
              <w:t xml:space="preserve"> et cadres rémunérés par les établissements d’enseignement privé sous contrat du 2 octobre 2013 (révisés par le protocole d’accord du 26 juin 2014)</w:t>
            </w:r>
          </w:p>
        </w:tc>
      </w:tr>
      <w:tr w:rsidR="000C1D87" w:rsidRPr="000C1D87" w14:paraId="4887BCCD" w14:textId="77777777" w:rsidTr="000C1D87">
        <w:tc>
          <w:tcPr>
            <w:tcW w:w="669" w:type="pct"/>
            <w:vMerge/>
          </w:tcPr>
          <w:p w14:paraId="6646AB62" w14:textId="77777777" w:rsidR="000C1D87" w:rsidRPr="000C1D87" w:rsidRDefault="000C1D87" w:rsidP="000C1D87">
            <w:pPr>
              <w:rPr>
                <w:rFonts w:cs="Calibri"/>
                <w:b/>
                <w:color w:val="1F497D"/>
                <w:sz w:val="16"/>
                <w:szCs w:val="16"/>
              </w:rPr>
            </w:pPr>
          </w:p>
        </w:tc>
        <w:tc>
          <w:tcPr>
            <w:tcW w:w="1526" w:type="pct"/>
            <w:vMerge/>
            <w:vAlign w:val="center"/>
          </w:tcPr>
          <w:p w14:paraId="4029CD4E" w14:textId="77777777" w:rsidR="000C1D87" w:rsidRPr="000C1D87" w:rsidRDefault="000C1D87" w:rsidP="000C1D87">
            <w:pPr>
              <w:rPr>
                <w:rFonts w:cs="Calibri"/>
                <w:b/>
                <w:color w:val="1F497D"/>
                <w:sz w:val="16"/>
                <w:szCs w:val="16"/>
              </w:rPr>
            </w:pPr>
          </w:p>
        </w:tc>
        <w:tc>
          <w:tcPr>
            <w:tcW w:w="2805" w:type="pct"/>
            <w:vAlign w:val="center"/>
          </w:tcPr>
          <w:p w14:paraId="1EB60919" w14:textId="77777777" w:rsidR="000C1D87" w:rsidRPr="000C1D87" w:rsidRDefault="000C1D87" w:rsidP="000C1D87">
            <w:pPr>
              <w:rPr>
                <w:rFonts w:cs="Calibri"/>
                <w:sz w:val="16"/>
                <w:szCs w:val="16"/>
              </w:rPr>
            </w:pPr>
            <w:r w:rsidRPr="000C1D87">
              <w:rPr>
                <w:rFonts w:cs="Calibri"/>
                <w:sz w:val="16"/>
                <w:szCs w:val="16"/>
              </w:rPr>
              <w:t>Accord paritaire portant sur l’affiliation des salariés aux régimes de retraite et de prévoyance des cadres et assimilés du 27 juin 2013</w:t>
            </w:r>
          </w:p>
        </w:tc>
      </w:tr>
      <w:tr w:rsidR="000C1D87" w:rsidRPr="000C1D87" w14:paraId="63569746" w14:textId="77777777" w:rsidTr="000C1D87">
        <w:tc>
          <w:tcPr>
            <w:tcW w:w="669" w:type="pct"/>
            <w:vMerge/>
          </w:tcPr>
          <w:p w14:paraId="1A62F192" w14:textId="77777777" w:rsidR="000C1D87" w:rsidRPr="000C1D87" w:rsidRDefault="000C1D87" w:rsidP="000C1D87">
            <w:pPr>
              <w:rPr>
                <w:rFonts w:cs="Calibri"/>
                <w:b/>
                <w:color w:val="1F497D"/>
                <w:sz w:val="16"/>
                <w:szCs w:val="16"/>
              </w:rPr>
            </w:pPr>
          </w:p>
        </w:tc>
        <w:tc>
          <w:tcPr>
            <w:tcW w:w="1526" w:type="pct"/>
            <w:vMerge/>
            <w:vAlign w:val="center"/>
          </w:tcPr>
          <w:p w14:paraId="60DA337F" w14:textId="77777777" w:rsidR="000C1D87" w:rsidRPr="000C1D87" w:rsidRDefault="000C1D87" w:rsidP="000C1D87">
            <w:pPr>
              <w:rPr>
                <w:rFonts w:cs="Calibri"/>
                <w:b/>
                <w:color w:val="1F497D"/>
                <w:sz w:val="16"/>
                <w:szCs w:val="16"/>
              </w:rPr>
            </w:pPr>
          </w:p>
        </w:tc>
        <w:tc>
          <w:tcPr>
            <w:tcW w:w="2805" w:type="pct"/>
            <w:vAlign w:val="center"/>
          </w:tcPr>
          <w:p w14:paraId="2DF67797" w14:textId="77777777" w:rsidR="000C1D87" w:rsidRPr="000C1D87" w:rsidRDefault="000C1D87" w:rsidP="000C1D87">
            <w:pPr>
              <w:rPr>
                <w:rFonts w:cs="Calibri"/>
                <w:sz w:val="16"/>
                <w:szCs w:val="16"/>
              </w:rPr>
            </w:pPr>
            <w:r w:rsidRPr="000C1D87">
              <w:rPr>
                <w:rFonts w:cs="Calibri"/>
                <w:sz w:val="16"/>
                <w:szCs w:val="16"/>
              </w:rPr>
              <w:t>Accord de création du régime EEP Santé du 18 juin 2015</w:t>
            </w:r>
          </w:p>
        </w:tc>
      </w:tr>
      <w:tr w:rsidR="000C1D87" w:rsidRPr="000C1D87" w14:paraId="5963B35B" w14:textId="77777777" w:rsidTr="000C1D87">
        <w:tc>
          <w:tcPr>
            <w:tcW w:w="669" w:type="pct"/>
            <w:vMerge/>
          </w:tcPr>
          <w:p w14:paraId="0BF633D9" w14:textId="77777777" w:rsidR="000C1D87" w:rsidRPr="000C1D87" w:rsidRDefault="000C1D87" w:rsidP="000C1D87">
            <w:pPr>
              <w:rPr>
                <w:rFonts w:cs="Calibri"/>
                <w:b/>
                <w:color w:val="1F497D"/>
                <w:sz w:val="16"/>
                <w:szCs w:val="16"/>
              </w:rPr>
            </w:pPr>
          </w:p>
        </w:tc>
        <w:tc>
          <w:tcPr>
            <w:tcW w:w="1526" w:type="pct"/>
            <w:vMerge/>
            <w:vAlign w:val="center"/>
          </w:tcPr>
          <w:p w14:paraId="7F2FB005" w14:textId="77777777" w:rsidR="000C1D87" w:rsidRPr="000C1D87" w:rsidRDefault="000C1D87" w:rsidP="000C1D87">
            <w:pPr>
              <w:rPr>
                <w:rFonts w:cs="Calibri"/>
                <w:b/>
                <w:color w:val="1F497D"/>
                <w:sz w:val="16"/>
                <w:szCs w:val="16"/>
              </w:rPr>
            </w:pPr>
          </w:p>
        </w:tc>
        <w:tc>
          <w:tcPr>
            <w:tcW w:w="2805" w:type="pct"/>
            <w:vAlign w:val="center"/>
          </w:tcPr>
          <w:p w14:paraId="6380A5C0" w14:textId="77777777" w:rsidR="000C1D87" w:rsidRPr="000C1D87" w:rsidRDefault="000C1D87" w:rsidP="000C1D87">
            <w:pPr>
              <w:rPr>
                <w:rFonts w:cs="Calibri"/>
                <w:sz w:val="16"/>
                <w:szCs w:val="16"/>
              </w:rPr>
            </w:pPr>
            <w:r w:rsidRPr="000C1D87">
              <w:rPr>
                <w:rFonts w:cs="Calibri"/>
                <w:sz w:val="16"/>
                <w:szCs w:val="16"/>
              </w:rPr>
              <w:t>Accord de recommandation d’assureurs / régime EEP Santé du 18 juin 2015</w:t>
            </w:r>
          </w:p>
        </w:tc>
      </w:tr>
      <w:tr w:rsidR="000C1D87" w:rsidRPr="000C1D87" w14:paraId="33B07631" w14:textId="77777777" w:rsidTr="000C1D87">
        <w:tc>
          <w:tcPr>
            <w:tcW w:w="669" w:type="pct"/>
            <w:vMerge/>
          </w:tcPr>
          <w:p w14:paraId="60E48685" w14:textId="77777777" w:rsidR="000C1D87" w:rsidRPr="000C1D87" w:rsidRDefault="000C1D87" w:rsidP="000C1D87">
            <w:pPr>
              <w:rPr>
                <w:rFonts w:cs="Calibri"/>
                <w:b/>
                <w:color w:val="1F497D"/>
                <w:sz w:val="16"/>
                <w:szCs w:val="16"/>
              </w:rPr>
            </w:pPr>
          </w:p>
        </w:tc>
        <w:tc>
          <w:tcPr>
            <w:tcW w:w="1526" w:type="pct"/>
            <w:vMerge/>
            <w:vAlign w:val="center"/>
          </w:tcPr>
          <w:p w14:paraId="3A097BB3" w14:textId="77777777" w:rsidR="000C1D87" w:rsidRPr="000C1D87" w:rsidRDefault="000C1D87" w:rsidP="000C1D87">
            <w:pPr>
              <w:rPr>
                <w:rFonts w:cs="Calibri"/>
                <w:b/>
                <w:color w:val="1F497D"/>
                <w:sz w:val="16"/>
                <w:szCs w:val="16"/>
              </w:rPr>
            </w:pPr>
          </w:p>
        </w:tc>
        <w:tc>
          <w:tcPr>
            <w:tcW w:w="2805" w:type="pct"/>
            <w:vAlign w:val="center"/>
          </w:tcPr>
          <w:p w14:paraId="18DB64A3" w14:textId="77777777" w:rsidR="000C1D87" w:rsidRPr="000C1D87" w:rsidRDefault="000C1D87" w:rsidP="000C1D87">
            <w:pPr>
              <w:rPr>
                <w:rFonts w:cs="Calibri"/>
                <w:sz w:val="16"/>
                <w:szCs w:val="16"/>
              </w:rPr>
            </w:pPr>
            <w:r w:rsidRPr="000C1D87">
              <w:rPr>
                <w:rFonts w:cs="Calibri"/>
                <w:sz w:val="16"/>
                <w:szCs w:val="16"/>
              </w:rPr>
              <w:t>Accord paritaire concernant le relèvement du taux de cotisation de retraite complémentaire ARRCO pour les personnels des établissements privés accomplissant des tâches directement rémunérées par l’employeur privé du 13 décembre 1991</w:t>
            </w:r>
          </w:p>
        </w:tc>
      </w:tr>
      <w:tr w:rsidR="000C1D87" w:rsidRPr="000C1D87" w14:paraId="5D879D95" w14:textId="77777777" w:rsidTr="000C1D87">
        <w:tc>
          <w:tcPr>
            <w:tcW w:w="669" w:type="pct"/>
            <w:vMerge/>
          </w:tcPr>
          <w:p w14:paraId="13B2F964" w14:textId="77777777" w:rsidR="000C1D87" w:rsidRPr="000C1D87" w:rsidRDefault="000C1D87" w:rsidP="000C1D87">
            <w:pPr>
              <w:rPr>
                <w:rFonts w:cs="Calibri"/>
                <w:b/>
                <w:color w:val="1F497D"/>
                <w:sz w:val="16"/>
                <w:szCs w:val="16"/>
              </w:rPr>
            </w:pPr>
          </w:p>
        </w:tc>
        <w:tc>
          <w:tcPr>
            <w:tcW w:w="1526" w:type="pct"/>
            <w:vMerge w:val="restart"/>
            <w:vAlign w:val="center"/>
          </w:tcPr>
          <w:p w14:paraId="54161EA9" w14:textId="77777777" w:rsidR="000C1D87" w:rsidRPr="000C1D87" w:rsidRDefault="000C1D87" w:rsidP="000C1D87">
            <w:pPr>
              <w:rPr>
                <w:rFonts w:cs="Calibri"/>
                <w:b/>
                <w:color w:val="1F497D"/>
                <w:sz w:val="16"/>
                <w:szCs w:val="16"/>
              </w:rPr>
            </w:pPr>
            <w:r w:rsidRPr="000C1D87">
              <w:rPr>
                <w:rFonts w:cs="Calibri"/>
                <w:b/>
                <w:color w:val="1F497D"/>
                <w:sz w:val="16"/>
                <w:szCs w:val="16"/>
              </w:rPr>
              <w:t xml:space="preserve">Rémunération </w:t>
            </w:r>
          </w:p>
        </w:tc>
        <w:tc>
          <w:tcPr>
            <w:tcW w:w="2805" w:type="pct"/>
            <w:vAlign w:val="center"/>
          </w:tcPr>
          <w:p w14:paraId="6FA30F1C" w14:textId="77777777" w:rsidR="000C1D87" w:rsidRPr="000C1D87" w:rsidRDefault="000C1D87" w:rsidP="000C1D87">
            <w:pPr>
              <w:rPr>
                <w:rFonts w:cs="Calibri"/>
                <w:sz w:val="16"/>
                <w:szCs w:val="16"/>
              </w:rPr>
            </w:pPr>
            <w:r w:rsidRPr="000C1D87">
              <w:rPr>
                <w:rFonts w:cs="Calibri"/>
                <w:sz w:val="16"/>
                <w:szCs w:val="16"/>
              </w:rPr>
              <w:t xml:space="preserve">Accord </w:t>
            </w:r>
            <w:r w:rsidRPr="000C1D87">
              <w:rPr>
                <w:sz w:val="16"/>
                <w:szCs w:val="16"/>
              </w:rPr>
              <w:t>salarial du 7 juillet 2015</w:t>
            </w:r>
            <w:r w:rsidRPr="000C1D87">
              <w:rPr>
                <w:color w:val="00B050"/>
                <w:sz w:val="16"/>
                <w:szCs w:val="16"/>
              </w:rPr>
              <w:t xml:space="preserve"> </w:t>
            </w:r>
            <w:r w:rsidRPr="000C1D87">
              <w:rPr>
                <w:sz w:val="16"/>
                <w:szCs w:val="16"/>
              </w:rPr>
              <w:t xml:space="preserve">relatif au versement d’une indemnité de 1% </w:t>
            </w:r>
          </w:p>
        </w:tc>
      </w:tr>
      <w:tr w:rsidR="000C1D87" w:rsidRPr="000C1D87" w14:paraId="3D90C3E7" w14:textId="77777777" w:rsidTr="000C1D87">
        <w:tc>
          <w:tcPr>
            <w:tcW w:w="669" w:type="pct"/>
            <w:vMerge/>
          </w:tcPr>
          <w:p w14:paraId="36B53313" w14:textId="77777777" w:rsidR="000C1D87" w:rsidRPr="000C1D87" w:rsidRDefault="000C1D87" w:rsidP="000C1D87">
            <w:pPr>
              <w:rPr>
                <w:rFonts w:cs="Calibri"/>
                <w:b/>
                <w:color w:val="1F497D"/>
                <w:sz w:val="16"/>
                <w:szCs w:val="16"/>
              </w:rPr>
            </w:pPr>
          </w:p>
        </w:tc>
        <w:tc>
          <w:tcPr>
            <w:tcW w:w="1526" w:type="pct"/>
            <w:vMerge/>
            <w:vAlign w:val="center"/>
          </w:tcPr>
          <w:p w14:paraId="6075207D" w14:textId="77777777" w:rsidR="000C1D87" w:rsidRPr="000C1D87" w:rsidRDefault="000C1D87" w:rsidP="000C1D87">
            <w:pPr>
              <w:rPr>
                <w:rFonts w:cs="Calibri"/>
                <w:b/>
                <w:color w:val="1F497D"/>
                <w:sz w:val="16"/>
                <w:szCs w:val="16"/>
              </w:rPr>
            </w:pPr>
          </w:p>
        </w:tc>
        <w:tc>
          <w:tcPr>
            <w:tcW w:w="2805" w:type="pct"/>
            <w:vAlign w:val="center"/>
          </w:tcPr>
          <w:p w14:paraId="086C4B48" w14:textId="77777777" w:rsidR="000C1D87" w:rsidRPr="000C1D87" w:rsidRDefault="000C1D87" w:rsidP="000C1D87">
            <w:pPr>
              <w:rPr>
                <w:rFonts w:cs="Calibri"/>
                <w:sz w:val="16"/>
                <w:szCs w:val="16"/>
              </w:rPr>
            </w:pPr>
            <w:r w:rsidRPr="000C1D87">
              <w:rPr>
                <w:sz w:val="16"/>
                <w:szCs w:val="16"/>
              </w:rPr>
              <w:t>Accord salarial faisant suite à la négociation obligatoire sur les salaires du 9 juillet 2015</w:t>
            </w:r>
          </w:p>
        </w:tc>
      </w:tr>
      <w:tr w:rsidR="000C1D87" w:rsidRPr="000C1D87" w14:paraId="379AD77E" w14:textId="77777777" w:rsidTr="000C1D87">
        <w:tc>
          <w:tcPr>
            <w:tcW w:w="669" w:type="pct"/>
            <w:vMerge/>
          </w:tcPr>
          <w:p w14:paraId="75B837FA" w14:textId="77777777" w:rsidR="000C1D87" w:rsidRPr="000C1D87" w:rsidRDefault="000C1D87" w:rsidP="000C1D87">
            <w:pPr>
              <w:rPr>
                <w:rFonts w:cs="Calibri"/>
                <w:b/>
                <w:color w:val="1F497D"/>
                <w:sz w:val="16"/>
                <w:szCs w:val="16"/>
              </w:rPr>
            </w:pPr>
          </w:p>
        </w:tc>
        <w:tc>
          <w:tcPr>
            <w:tcW w:w="1526" w:type="pct"/>
            <w:vMerge/>
            <w:vAlign w:val="center"/>
          </w:tcPr>
          <w:p w14:paraId="37486177" w14:textId="77777777" w:rsidR="000C1D87" w:rsidRPr="000C1D87" w:rsidRDefault="000C1D87" w:rsidP="000C1D87">
            <w:pPr>
              <w:rPr>
                <w:rFonts w:cs="Calibri"/>
                <w:b/>
                <w:color w:val="1F497D"/>
                <w:sz w:val="16"/>
                <w:szCs w:val="16"/>
              </w:rPr>
            </w:pPr>
          </w:p>
        </w:tc>
        <w:tc>
          <w:tcPr>
            <w:tcW w:w="2805" w:type="pct"/>
            <w:vAlign w:val="center"/>
          </w:tcPr>
          <w:p w14:paraId="6ECFDE94" w14:textId="77777777" w:rsidR="000C1D87" w:rsidRPr="000C1D87" w:rsidRDefault="000C1D87" w:rsidP="000C1D87">
            <w:pPr>
              <w:rPr>
                <w:sz w:val="16"/>
                <w:szCs w:val="16"/>
              </w:rPr>
            </w:pPr>
            <w:r w:rsidRPr="000C1D87">
              <w:rPr>
                <w:sz w:val="16"/>
                <w:szCs w:val="16"/>
              </w:rPr>
              <w:t>Rappels des valeurs du point PSAEE et SEP en annexe</w:t>
            </w:r>
          </w:p>
        </w:tc>
      </w:tr>
      <w:tr w:rsidR="000C1D87" w:rsidRPr="000C1D87" w14:paraId="4A244EEA" w14:textId="77777777" w:rsidTr="000C1D87">
        <w:tc>
          <w:tcPr>
            <w:tcW w:w="669" w:type="pct"/>
            <w:vMerge/>
          </w:tcPr>
          <w:p w14:paraId="4A49BCD6" w14:textId="77777777" w:rsidR="000C1D87" w:rsidRPr="000C1D87" w:rsidRDefault="000C1D87" w:rsidP="000C1D87">
            <w:pPr>
              <w:rPr>
                <w:rFonts w:cs="Calibri"/>
                <w:b/>
                <w:color w:val="1F497D"/>
                <w:sz w:val="16"/>
                <w:szCs w:val="16"/>
              </w:rPr>
            </w:pPr>
          </w:p>
        </w:tc>
        <w:tc>
          <w:tcPr>
            <w:tcW w:w="1526" w:type="pct"/>
            <w:vAlign w:val="center"/>
          </w:tcPr>
          <w:p w14:paraId="09DE4333" w14:textId="77777777" w:rsidR="000C1D87" w:rsidRPr="000C1D87" w:rsidRDefault="000C1D87" w:rsidP="000C1D87">
            <w:pPr>
              <w:rPr>
                <w:rFonts w:cs="Calibri"/>
                <w:b/>
                <w:color w:val="1F497D"/>
                <w:sz w:val="16"/>
                <w:szCs w:val="16"/>
              </w:rPr>
            </w:pPr>
            <w:r w:rsidRPr="000C1D87">
              <w:rPr>
                <w:rFonts w:cs="Calibri"/>
                <w:b/>
                <w:color w:val="1F497D"/>
                <w:sz w:val="16"/>
                <w:szCs w:val="16"/>
              </w:rPr>
              <w:t xml:space="preserve">Dialogue social </w:t>
            </w:r>
          </w:p>
        </w:tc>
        <w:tc>
          <w:tcPr>
            <w:tcW w:w="2805" w:type="pct"/>
            <w:vAlign w:val="center"/>
          </w:tcPr>
          <w:p w14:paraId="2EC4ACC2" w14:textId="77777777" w:rsidR="000C1D87" w:rsidRPr="000C1D87" w:rsidRDefault="000C1D87" w:rsidP="000C1D87">
            <w:pPr>
              <w:rPr>
                <w:rFonts w:cs="Calibri"/>
                <w:sz w:val="16"/>
                <w:szCs w:val="16"/>
              </w:rPr>
            </w:pPr>
            <w:r w:rsidRPr="000C1D87">
              <w:rPr>
                <w:sz w:val="16"/>
                <w:szCs w:val="16"/>
              </w:rPr>
              <w:t>Accord sur le droit syndical et le dialogue social du 7 juillet 2015</w:t>
            </w:r>
          </w:p>
        </w:tc>
      </w:tr>
      <w:tr w:rsidR="000C1D87" w:rsidRPr="000C1D87" w14:paraId="51AE9D7A" w14:textId="77777777" w:rsidTr="000C1D87">
        <w:tc>
          <w:tcPr>
            <w:tcW w:w="669" w:type="pct"/>
            <w:vMerge w:val="restart"/>
            <w:vAlign w:val="center"/>
          </w:tcPr>
          <w:p w14:paraId="6DF448F0" w14:textId="77777777" w:rsidR="000C1D87" w:rsidRPr="000C1D87" w:rsidRDefault="000C1D87" w:rsidP="000C1D87">
            <w:pPr>
              <w:jc w:val="center"/>
              <w:rPr>
                <w:rFonts w:cs="Calibri"/>
                <w:b/>
                <w:color w:val="1F497D"/>
                <w:sz w:val="16"/>
                <w:szCs w:val="16"/>
              </w:rPr>
            </w:pPr>
            <w:r w:rsidRPr="000C1D87">
              <w:rPr>
                <w:rFonts w:cs="Calibri"/>
                <w:b/>
                <w:color w:val="1F497D"/>
                <w:sz w:val="16"/>
                <w:szCs w:val="16"/>
              </w:rPr>
              <w:t>Accords d’entreprise</w:t>
            </w:r>
          </w:p>
        </w:tc>
        <w:tc>
          <w:tcPr>
            <w:tcW w:w="1526" w:type="pct"/>
            <w:vAlign w:val="center"/>
          </w:tcPr>
          <w:p w14:paraId="4F9F0889" w14:textId="77777777" w:rsidR="000C1D87" w:rsidRPr="000C1D87" w:rsidRDefault="000C1D87" w:rsidP="000C1D87">
            <w:pPr>
              <w:rPr>
                <w:rFonts w:cs="Calibri"/>
                <w:sz w:val="16"/>
                <w:szCs w:val="16"/>
              </w:rPr>
            </w:pPr>
          </w:p>
        </w:tc>
        <w:tc>
          <w:tcPr>
            <w:tcW w:w="2805" w:type="pct"/>
            <w:vAlign w:val="center"/>
          </w:tcPr>
          <w:p w14:paraId="23175899" w14:textId="77777777" w:rsidR="000C1D87" w:rsidRPr="000C1D87" w:rsidRDefault="000C1D87" w:rsidP="000C1D87">
            <w:pPr>
              <w:rPr>
                <w:b/>
                <w:sz w:val="16"/>
                <w:szCs w:val="16"/>
              </w:rPr>
            </w:pPr>
          </w:p>
        </w:tc>
      </w:tr>
      <w:tr w:rsidR="000C1D87" w:rsidRPr="000C1D87" w14:paraId="27E5EFB7" w14:textId="77777777" w:rsidTr="000C1D87">
        <w:tc>
          <w:tcPr>
            <w:tcW w:w="669" w:type="pct"/>
            <w:vMerge/>
          </w:tcPr>
          <w:p w14:paraId="32DC3E7E" w14:textId="77777777" w:rsidR="000C1D87" w:rsidRPr="000C1D87" w:rsidRDefault="000C1D87" w:rsidP="000C1D87">
            <w:pPr>
              <w:ind w:left="113" w:right="113"/>
              <w:jc w:val="center"/>
              <w:rPr>
                <w:rFonts w:cs="Calibri"/>
                <w:sz w:val="16"/>
                <w:szCs w:val="16"/>
              </w:rPr>
            </w:pPr>
          </w:p>
        </w:tc>
        <w:tc>
          <w:tcPr>
            <w:tcW w:w="1526" w:type="pct"/>
            <w:vAlign w:val="center"/>
          </w:tcPr>
          <w:p w14:paraId="46563433" w14:textId="77777777" w:rsidR="000C1D87" w:rsidRPr="000C1D87" w:rsidRDefault="000C1D87" w:rsidP="000C1D87">
            <w:pPr>
              <w:rPr>
                <w:rFonts w:cs="Calibri"/>
                <w:sz w:val="16"/>
                <w:szCs w:val="16"/>
              </w:rPr>
            </w:pPr>
          </w:p>
        </w:tc>
        <w:tc>
          <w:tcPr>
            <w:tcW w:w="2805" w:type="pct"/>
            <w:vAlign w:val="center"/>
          </w:tcPr>
          <w:p w14:paraId="741D6CDA" w14:textId="77777777" w:rsidR="000C1D87" w:rsidRPr="000C1D87" w:rsidRDefault="000C1D87" w:rsidP="000C1D87">
            <w:pPr>
              <w:rPr>
                <w:b/>
                <w:sz w:val="16"/>
                <w:szCs w:val="16"/>
              </w:rPr>
            </w:pPr>
          </w:p>
        </w:tc>
      </w:tr>
    </w:tbl>
    <w:p w14:paraId="2D0A8C90" w14:textId="77777777" w:rsidR="00592330" w:rsidRDefault="00592330" w:rsidP="00592330">
      <w:pPr>
        <w:spacing w:after="0"/>
        <w:jc w:val="both"/>
        <w:rPr>
          <w:rFonts w:cstheme="minorHAnsi"/>
          <w:b/>
          <w:sz w:val="20"/>
          <w:szCs w:val="20"/>
        </w:rPr>
      </w:pPr>
    </w:p>
    <w:p w14:paraId="362B185B" w14:textId="7D4DCEFC" w:rsidR="000C1D87" w:rsidRPr="000C1D87" w:rsidRDefault="000C1D87" w:rsidP="00592330">
      <w:pPr>
        <w:spacing w:after="0"/>
        <w:jc w:val="both"/>
        <w:rPr>
          <w:rFonts w:cstheme="minorHAnsi"/>
          <w:b/>
          <w:sz w:val="20"/>
          <w:szCs w:val="20"/>
        </w:rPr>
      </w:pPr>
      <w:r w:rsidRPr="000C1D87">
        <w:rPr>
          <w:rFonts w:cstheme="minorHAnsi"/>
          <w:b/>
          <w:sz w:val="20"/>
          <w:szCs w:val="20"/>
        </w:rPr>
        <w:t xml:space="preserve">Vous pouvez consulter ces accords </w:t>
      </w:r>
      <w:r w:rsidRPr="000C1D87">
        <w:rPr>
          <w:rFonts w:cstheme="minorHAnsi"/>
          <w:i/>
          <w:color w:val="1F497D" w:themeColor="text2"/>
          <w:sz w:val="20"/>
          <w:szCs w:val="20"/>
        </w:rPr>
        <w:t>(lieu de consultation</w:t>
      </w:r>
      <w:r w:rsidRPr="000C1D87">
        <w:rPr>
          <w:rFonts w:cstheme="minorHAnsi"/>
          <w:b/>
          <w:i/>
          <w:color w:val="1F497D" w:themeColor="text2"/>
          <w:sz w:val="20"/>
          <w:szCs w:val="20"/>
        </w:rPr>
        <w:t>)</w:t>
      </w:r>
      <w:r w:rsidR="00592330">
        <w:rPr>
          <w:rFonts w:cstheme="minorHAnsi"/>
          <w:b/>
          <w:i/>
          <w:color w:val="1F497D" w:themeColor="text2"/>
          <w:sz w:val="20"/>
          <w:szCs w:val="20"/>
        </w:rPr>
        <w:t> :</w:t>
      </w:r>
    </w:p>
    <w:p w14:paraId="15B1E048" w14:textId="77777777" w:rsidR="00592330" w:rsidRDefault="00592330" w:rsidP="00592330">
      <w:pPr>
        <w:spacing w:after="0"/>
        <w:jc w:val="both"/>
        <w:rPr>
          <w:rFonts w:cstheme="minorHAnsi"/>
          <w:b/>
          <w:sz w:val="20"/>
          <w:szCs w:val="20"/>
        </w:rPr>
      </w:pPr>
    </w:p>
    <w:p w14:paraId="3D46473A" w14:textId="60EA404E" w:rsidR="000C1D87" w:rsidRDefault="000C1D87" w:rsidP="00592330">
      <w:pPr>
        <w:spacing w:after="0"/>
        <w:jc w:val="both"/>
        <w:rPr>
          <w:rFonts w:cstheme="minorHAnsi"/>
          <w:i/>
          <w:color w:val="1F497D" w:themeColor="text2"/>
          <w:sz w:val="20"/>
          <w:szCs w:val="20"/>
        </w:rPr>
      </w:pPr>
      <w:r w:rsidRPr="000C1D87">
        <w:rPr>
          <w:rFonts w:cstheme="minorHAnsi"/>
          <w:b/>
          <w:sz w:val="20"/>
          <w:szCs w:val="20"/>
        </w:rPr>
        <w:t xml:space="preserve">Modalités de consultation : </w:t>
      </w:r>
    </w:p>
    <w:p w14:paraId="39AA33B8" w14:textId="77777777" w:rsidR="00592330" w:rsidRPr="007B4173" w:rsidRDefault="00592330" w:rsidP="00592330">
      <w:pPr>
        <w:spacing w:after="0"/>
        <w:jc w:val="both"/>
        <w:rPr>
          <w:rFonts w:cstheme="minorHAnsi"/>
          <w:i/>
          <w:color w:val="1F497D" w:themeColor="text2"/>
          <w:sz w:val="20"/>
          <w:szCs w:val="20"/>
        </w:rPr>
      </w:pPr>
    </w:p>
    <w:p w14:paraId="79C0DE5A" w14:textId="12C106EA" w:rsidR="000C1D87" w:rsidRPr="00905D39" w:rsidRDefault="001324C4" w:rsidP="001324C4">
      <w:pPr>
        <w:pBdr>
          <w:top w:val="single" w:sz="4" w:space="1" w:color="auto"/>
          <w:left w:val="single" w:sz="4" w:space="4" w:color="auto"/>
          <w:bottom w:val="single" w:sz="4" w:space="1" w:color="auto"/>
          <w:right w:val="single" w:sz="4" w:space="4" w:color="auto"/>
        </w:pBdr>
        <w:shd w:val="clear" w:color="auto" w:fill="FFFFFF" w:themeFill="background1"/>
        <w:spacing w:after="0" w:line="164" w:lineRule="atLeast"/>
        <w:jc w:val="both"/>
        <w:rPr>
          <w:sz w:val="18"/>
          <w:szCs w:val="18"/>
        </w:rPr>
      </w:pPr>
      <w:r w:rsidRPr="00905D39">
        <w:rPr>
          <w:sz w:val="18"/>
          <w:szCs w:val="18"/>
        </w:rPr>
        <w:t xml:space="preserve">A noter que cette « notice » doit être remise à chaque salarié lors de l’embauche, en application de l’article 2.2 </w:t>
      </w:r>
      <w:r w:rsidR="007B4173" w:rsidRPr="00905D39">
        <w:rPr>
          <w:sz w:val="18"/>
          <w:szCs w:val="18"/>
        </w:rPr>
        <w:t>de la section 9 du chapitre 2 de la convention collective de l’enseignement privé non lucratif IDCC n°3218 (CCEPNL)</w:t>
      </w:r>
      <w:r w:rsidRPr="00905D39">
        <w:rPr>
          <w:sz w:val="18"/>
          <w:szCs w:val="18"/>
        </w:rPr>
        <w:t>.</w:t>
      </w:r>
    </w:p>
    <w:p w14:paraId="0BF5CEF8" w14:textId="77777777" w:rsidR="00394D78" w:rsidRPr="00600EC9" w:rsidRDefault="00394D78" w:rsidP="00A612C2">
      <w:pPr>
        <w:shd w:val="clear" w:color="auto" w:fill="FFFFFF" w:themeFill="background1"/>
        <w:spacing w:after="0" w:line="164" w:lineRule="atLeast"/>
        <w:rPr>
          <w:sz w:val="20"/>
          <w:szCs w:val="20"/>
        </w:rPr>
      </w:pPr>
    </w:p>
    <w:sectPr w:rsidR="00394D78" w:rsidRPr="00600EC9" w:rsidSect="00673452">
      <w:headerReference w:type="even" r:id="rId13"/>
      <w:headerReference w:type="default" r:id="rId14"/>
      <w:headerReference w:type="first" r:id="rId15"/>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E12AC" w14:textId="77777777" w:rsidR="00773F84" w:rsidRDefault="00773F84" w:rsidP="001A06B9">
      <w:pPr>
        <w:spacing w:after="0" w:line="240" w:lineRule="auto"/>
      </w:pPr>
      <w:r>
        <w:separator/>
      </w:r>
    </w:p>
  </w:endnote>
  <w:endnote w:type="continuationSeparator" w:id="0">
    <w:p w14:paraId="0C21E985" w14:textId="77777777" w:rsidR="00773F84" w:rsidRDefault="00773F84" w:rsidP="001A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AE2BA" w14:textId="77777777" w:rsidR="00773F84" w:rsidRDefault="00773F84" w:rsidP="001A06B9">
      <w:pPr>
        <w:spacing w:after="0" w:line="240" w:lineRule="auto"/>
      </w:pPr>
      <w:r>
        <w:separator/>
      </w:r>
    </w:p>
  </w:footnote>
  <w:footnote w:type="continuationSeparator" w:id="0">
    <w:p w14:paraId="03190971" w14:textId="77777777" w:rsidR="00773F84" w:rsidRDefault="00773F84" w:rsidP="001A06B9">
      <w:pPr>
        <w:spacing w:after="0" w:line="240" w:lineRule="auto"/>
      </w:pPr>
      <w:r>
        <w:continuationSeparator/>
      </w:r>
    </w:p>
  </w:footnote>
  <w:footnote w:id="1">
    <w:p w14:paraId="5E566F24" w14:textId="77777777" w:rsidR="00905D39" w:rsidRPr="002D324F" w:rsidRDefault="00905D39" w:rsidP="000C1D87">
      <w:pPr>
        <w:spacing w:after="0"/>
        <w:jc w:val="both"/>
        <w:rPr>
          <w:rFonts w:cstheme="minorHAnsi"/>
          <w:i/>
          <w:sz w:val="20"/>
          <w:szCs w:val="20"/>
        </w:rPr>
      </w:pPr>
      <w:r w:rsidRPr="002D324F">
        <w:rPr>
          <w:rStyle w:val="Appelnotedebasdep"/>
          <w:sz w:val="20"/>
          <w:szCs w:val="20"/>
        </w:rPr>
        <w:footnoteRef/>
      </w:r>
      <w:r>
        <w:rPr>
          <w:rFonts w:cstheme="minorHAnsi"/>
          <w:i/>
          <w:sz w:val="20"/>
          <w:szCs w:val="20"/>
        </w:rPr>
        <w:t xml:space="preserve"> </w:t>
      </w:r>
      <w:r w:rsidRPr="002D324F">
        <w:rPr>
          <w:rFonts w:cstheme="minorHAnsi"/>
          <w:i/>
          <w:sz w:val="20"/>
          <w:szCs w:val="20"/>
        </w:rPr>
        <w:t xml:space="preserve">Il convient de modifier cette liste en tenant compte de la structure de votre établissement, et notamment d'y ajouter la référence aux accords collectifs qui auraient été conclus au niveau l'établissement. </w:t>
      </w:r>
    </w:p>
  </w:footnote>
  <w:footnote w:id="2">
    <w:p w14:paraId="420EC7CA" w14:textId="77777777" w:rsidR="00905D39" w:rsidRPr="002D324F" w:rsidRDefault="00905D39" w:rsidP="000C1D87">
      <w:pPr>
        <w:pStyle w:val="Notedebasdepage"/>
        <w:rPr>
          <w:i/>
        </w:rPr>
      </w:pPr>
      <w:r w:rsidRPr="002D324F">
        <w:rPr>
          <w:rStyle w:val="Appelnotedebasdep"/>
          <w:i/>
        </w:rPr>
        <w:footnoteRef/>
      </w:r>
      <w:r w:rsidRPr="002D324F">
        <w:rPr>
          <w:i/>
        </w:rPr>
        <w:t xml:space="preserve"> La Commission Nationale de la Certification Professionnelle (CNCP) demande d’utiliser l’intitulé de « Coordinateur opérationnel dans des établissements éducatifs scolaires et/ou de 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5287" w14:textId="69F7B4D7" w:rsidR="00905D39" w:rsidRDefault="00905D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F812" w14:textId="5EE18A53" w:rsidR="00905D39" w:rsidRPr="00D27752" w:rsidRDefault="00905D39" w:rsidP="00D277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A77E" w14:textId="731439BB" w:rsidR="00905D39" w:rsidRDefault="00905D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0000000"/>
    <w:lvl w:ilvl="0">
      <w:numFmt w:val="decimal"/>
      <w:pStyle w:val="Tiret"/>
      <w:lvlText w:val="*"/>
      <w:lvlJc w:val="left"/>
    </w:lvl>
  </w:abstractNum>
  <w:abstractNum w:abstractNumId="1" w15:restartNumberingAfterBreak="0">
    <w:nsid w:val="055C57E3"/>
    <w:multiLevelType w:val="multilevel"/>
    <w:tmpl w:val="DA3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4790"/>
    <w:multiLevelType w:val="multilevel"/>
    <w:tmpl w:val="F89C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54D"/>
    <w:multiLevelType w:val="multilevel"/>
    <w:tmpl w:val="C4DC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31DAB"/>
    <w:multiLevelType w:val="multilevel"/>
    <w:tmpl w:val="AE4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A0DCE"/>
    <w:multiLevelType w:val="multilevel"/>
    <w:tmpl w:val="94CE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F52D7"/>
    <w:multiLevelType w:val="multilevel"/>
    <w:tmpl w:val="7F1C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B15E3"/>
    <w:multiLevelType w:val="hybridMultilevel"/>
    <w:tmpl w:val="D03E9708"/>
    <w:lvl w:ilvl="0" w:tplc="5A3E80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3A1299"/>
    <w:multiLevelType w:val="multilevel"/>
    <w:tmpl w:val="425A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D5843"/>
    <w:multiLevelType w:val="multilevel"/>
    <w:tmpl w:val="B92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F0914"/>
    <w:multiLevelType w:val="hybridMultilevel"/>
    <w:tmpl w:val="69AA01DA"/>
    <w:lvl w:ilvl="0" w:tplc="5A3E80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8840B7"/>
    <w:multiLevelType w:val="hybridMultilevel"/>
    <w:tmpl w:val="FE06F4E2"/>
    <w:lvl w:ilvl="0" w:tplc="B6EE69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B43F75"/>
    <w:multiLevelType w:val="hybridMultilevel"/>
    <w:tmpl w:val="7338D0A6"/>
    <w:lvl w:ilvl="0" w:tplc="00000001">
      <w:start w:val="1"/>
      <w:numFmt w:val="bullet"/>
      <w:lvlText w:val="-"/>
      <w:lvlJc w:val="left"/>
      <w:pPr>
        <w:ind w:left="720" w:hanging="360"/>
      </w:pPr>
      <w:rPr>
        <w:rFonts w:ascii="Calibri" w:hAnsi="Calibri"/>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F96F03"/>
    <w:multiLevelType w:val="multilevel"/>
    <w:tmpl w:val="5068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F49B6"/>
    <w:multiLevelType w:val="multilevel"/>
    <w:tmpl w:val="0B6E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91F7D"/>
    <w:multiLevelType w:val="multilevel"/>
    <w:tmpl w:val="6DE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A2B13"/>
    <w:multiLevelType w:val="multilevel"/>
    <w:tmpl w:val="60C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065B"/>
    <w:multiLevelType w:val="multilevel"/>
    <w:tmpl w:val="11A8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F13D5"/>
    <w:multiLevelType w:val="multilevel"/>
    <w:tmpl w:val="FA5A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D5AEC"/>
    <w:multiLevelType w:val="multilevel"/>
    <w:tmpl w:val="D20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A4A87"/>
    <w:multiLevelType w:val="hybridMultilevel"/>
    <w:tmpl w:val="18F24E96"/>
    <w:lvl w:ilvl="0" w:tplc="DB18E8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EA5D54"/>
    <w:multiLevelType w:val="multilevel"/>
    <w:tmpl w:val="6710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21"/>
  </w:num>
  <w:num w:numId="4">
    <w:abstractNumId w:val="4"/>
  </w:num>
  <w:num w:numId="5">
    <w:abstractNumId w:val="8"/>
  </w:num>
  <w:num w:numId="6">
    <w:abstractNumId w:val="3"/>
  </w:num>
  <w:num w:numId="7">
    <w:abstractNumId w:val="5"/>
  </w:num>
  <w:num w:numId="8">
    <w:abstractNumId w:val="19"/>
  </w:num>
  <w:num w:numId="9">
    <w:abstractNumId w:val="18"/>
  </w:num>
  <w:num w:numId="10">
    <w:abstractNumId w:val="13"/>
  </w:num>
  <w:num w:numId="11">
    <w:abstractNumId w:val="9"/>
  </w:num>
  <w:num w:numId="12">
    <w:abstractNumId w:val="14"/>
  </w:num>
  <w:num w:numId="13">
    <w:abstractNumId w:val="15"/>
  </w:num>
  <w:num w:numId="14">
    <w:abstractNumId w:val="6"/>
  </w:num>
  <w:num w:numId="15">
    <w:abstractNumId w:val="0"/>
    <w:lvlOverride w:ilvl="0">
      <w:lvl w:ilvl="0">
        <w:start w:val="1"/>
        <w:numFmt w:val="bullet"/>
        <w:pStyle w:val="Tiret"/>
        <w:lvlText w:val="•"/>
        <w:lvlJc w:val="left"/>
        <w:pPr>
          <w:tabs>
            <w:tab w:val="num" w:pos="928"/>
          </w:tabs>
          <w:ind w:left="795" w:hanging="227"/>
        </w:pPr>
        <w:rPr>
          <w:rFonts w:ascii="Times New Roman" w:hAnsi="Times New Roman" w:hint="default"/>
          <w:b/>
          <w:i w:val="0"/>
          <w:sz w:val="28"/>
        </w:rPr>
      </w:lvl>
    </w:lvlOverride>
  </w:num>
  <w:num w:numId="16">
    <w:abstractNumId w:val="16"/>
  </w:num>
  <w:num w:numId="17">
    <w:abstractNumId w:val="20"/>
  </w:num>
  <w:num w:numId="18">
    <w:abstractNumId w:val="11"/>
  </w:num>
  <w:num w:numId="19">
    <w:abstractNumId w:val="7"/>
  </w:num>
  <w:num w:numId="20">
    <w:abstractNumId w:val="10"/>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E6"/>
    <w:rsid w:val="00022E92"/>
    <w:rsid w:val="00041930"/>
    <w:rsid w:val="0004660E"/>
    <w:rsid w:val="000466B9"/>
    <w:rsid w:val="0008401C"/>
    <w:rsid w:val="00085C96"/>
    <w:rsid w:val="000C1D87"/>
    <w:rsid w:val="000C6BF6"/>
    <w:rsid w:val="000E4640"/>
    <w:rsid w:val="000E5014"/>
    <w:rsid w:val="000F02B4"/>
    <w:rsid w:val="000F6313"/>
    <w:rsid w:val="00102144"/>
    <w:rsid w:val="0010295C"/>
    <w:rsid w:val="001102B1"/>
    <w:rsid w:val="001324C4"/>
    <w:rsid w:val="001769CB"/>
    <w:rsid w:val="00197CCA"/>
    <w:rsid w:val="001A06B9"/>
    <w:rsid w:val="001B14F4"/>
    <w:rsid w:val="001C35D7"/>
    <w:rsid w:val="001F7622"/>
    <w:rsid w:val="00230460"/>
    <w:rsid w:val="00262F81"/>
    <w:rsid w:val="00271A73"/>
    <w:rsid w:val="00280730"/>
    <w:rsid w:val="002C54B4"/>
    <w:rsid w:val="002D2E05"/>
    <w:rsid w:val="002F1BC6"/>
    <w:rsid w:val="002F2704"/>
    <w:rsid w:val="003025D8"/>
    <w:rsid w:val="003651DE"/>
    <w:rsid w:val="003857D3"/>
    <w:rsid w:val="00394D78"/>
    <w:rsid w:val="003B5DB3"/>
    <w:rsid w:val="00414FA4"/>
    <w:rsid w:val="00420510"/>
    <w:rsid w:val="00430FDC"/>
    <w:rsid w:val="00441FF5"/>
    <w:rsid w:val="004641A1"/>
    <w:rsid w:val="0048183A"/>
    <w:rsid w:val="004D1B1E"/>
    <w:rsid w:val="004D294F"/>
    <w:rsid w:val="004D7C88"/>
    <w:rsid w:val="00500F24"/>
    <w:rsid w:val="005245B5"/>
    <w:rsid w:val="005419A8"/>
    <w:rsid w:val="00592330"/>
    <w:rsid w:val="00595307"/>
    <w:rsid w:val="005A5903"/>
    <w:rsid w:val="005B503E"/>
    <w:rsid w:val="005B663E"/>
    <w:rsid w:val="005C2DFA"/>
    <w:rsid w:val="005C3A28"/>
    <w:rsid w:val="005E1731"/>
    <w:rsid w:val="005E49DC"/>
    <w:rsid w:val="005E4FD4"/>
    <w:rsid w:val="005F2686"/>
    <w:rsid w:val="00600EC9"/>
    <w:rsid w:val="006071AB"/>
    <w:rsid w:val="00607A83"/>
    <w:rsid w:val="0061087B"/>
    <w:rsid w:val="006205C8"/>
    <w:rsid w:val="00621E36"/>
    <w:rsid w:val="00631FBA"/>
    <w:rsid w:val="006337C3"/>
    <w:rsid w:val="00642A97"/>
    <w:rsid w:val="00645018"/>
    <w:rsid w:val="006637A3"/>
    <w:rsid w:val="00673452"/>
    <w:rsid w:val="00686322"/>
    <w:rsid w:val="006C78AA"/>
    <w:rsid w:val="006D7F0F"/>
    <w:rsid w:val="006E59A0"/>
    <w:rsid w:val="00702530"/>
    <w:rsid w:val="0070574E"/>
    <w:rsid w:val="00713D15"/>
    <w:rsid w:val="00727630"/>
    <w:rsid w:val="00761993"/>
    <w:rsid w:val="00766ACC"/>
    <w:rsid w:val="00773F84"/>
    <w:rsid w:val="00786D1C"/>
    <w:rsid w:val="007B4173"/>
    <w:rsid w:val="007C0A01"/>
    <w:rsid w:val="007C48EB"/>
    <w:rsid w:val="007E120B"/>
    <w:rsid w:val="007F624E"/>
    <w:rsid w:val="00803D51"/>
    <w:rsid w:val="008310A2"/>
    <w:rsid w:val="00832F29"/>
    <w:rsid w:val="00847C00"/>
    <w:rsid w:val="008513A0"/>
    <w:rsid w:val="008738B3"/>
    <w:rsid w:val="00886C64"/>
    <w:rsid w:val="008B54E5"/>
    <w:rsid w:val="008B5CE6"/>
    <w:rsid w:val="008E45BF"/>
    <w:rsid w:val="008F602F"/>
    <w:rsid w:val="00905D39"/>
    <w:rsid w:val="00916DBE"/>
    <w:rsid w:val="00921C95"/>
    <w:rsid w:val="0094100B"/>
    <w:rsid w:val="00941080"/>
    <w:rsid w:val="0094381B"/>
    <w:rsid w:val="00967A6C"/>
    <w:rsid w:val="00995EE3"/>
    <w:rsid w:val="009C67E8"/>
    <w:rsid w:val="009D2BC6"/>
    <w:rsid w:val="009E7A70"/>
    <w:rsid w:val="00A54E4A"/>
    <w:rsid w:val="00A612C2"/>
    <w:rsid w:val="00A840E6"/>
    <w:rsid w:val="00AC33E6"/>
    <w:rsid w:val="00AF4B93"/>
    <w:rsid w:val="00AF5868"/>
    <w:rsid w:val="00B00F7A"/>
    <w:rsid w:val="00B359EB"/>
    <w:rsid w:val="00B40378"/>
    <w:rsid w:val="00B526E3"/>
    <w:rsid w:val="00B54A83"/>
    <w:rsid w:val="00B61834"/>
    <w:rsid w:val="00B85C53"/>
    <w:rsid w:val="00B9258A"/>
    <w:rsid w:val="00BB6F3F"/>
    <w:rsid w:val="00C16225"/>
    <w:rsid w:val="00C52475"/>
    <w:rsid w:val="00C72017"/>
    <w:rsid w:val="00C73915"/>
    <w:rsid w:val="00CA38C5"/>
    <w:rsid w:val="00CB342A"/>
    <w:rsid w:val="00CC03AB"/>
    <w:rsid w:val="00D10FEC"/>
    <w:rsid w:val="00D11729"/>
    <w:rsid w:val="00D27752"/>
    <w:rsid w:val="00D33F61"/>
    <w:rsid w:val="00D37C58"/>
    <w:rsid w:val="00D44E9F"/>
    <w:rsid w:val="00D619A4"/>
    <w:rsid w:val="00D77049"/>
    <w:rsid w:val="00D8153C"/>
    <w:rsid w:val="00D82014"/>
    <w:rsid w:val="00DE1E03"/>
    <w:rsid w:val="00DE3739"/>
    <w:rsid w:val="00DF36CA"/>
    <w:rsid w:val="00E032C9"/>
    <w:rsid w:val="00E03B9F"/>
    <w:rsid w:val="00E16037"/>
    <w:rsid w:val="00E478A5"/>
    <w:rsid w:val="00E65268"/>
    <w:rsid w:val="00E72303"/>
    <w:rsid w:val="00EA304A"/>
    <w:rsid w:val="00EA7A19"/>
    <w:rsid w:val="00EB0CB3"/>
    <w:rsid w:val="00ED0489"/>
    <w:rsid w:val="00EF3FE9"/>
    <w:rsid w:val="00EF40F0"/>
    <w:rsid w:val="00F1206A"/>
    <w:rsid w:val="00F16114"/>
    <w:rsid w:val="00F6313B"/>
    <w:rsid w:val="00F80413"/>
    <w:rsid w:val="00F930DD"/>
    <w:rsid w:val="00FB33DA"/>
    <w:rsid w:val="00FB75F9"/>
    <w:rsid w:val="00FC5E6F"/>
    <w:rsid w:val="00FE0727"/>
    <w:rsid w:val="00FE3B96"/>
    <w:rsid w:val="00FE3BB2"/>
    <w:rsid w:val="00FF7FBE"/>
    <w:rsid w:val="7B1C3E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12554"/>
  <w15:docId w15:val="{8A3A4534-E1DE-4585-BE80-4BB441C8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807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13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847C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5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B5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C0A01"/>
  </w:style>
  <w:style w:type="character" w:styleId="Lienhypertexte">
    <w:name w:val="Hyperlink"/>
    <w:basedOn w:val="Policepardfaut"/>
    <w:uiPriority w:val="99"/>
    <w:unhideWhenUsed/>
    <w:rsid w:val="007C0A01"/>
    <w:rPr>
      <w:color w:val="0000FF"/>
      <w:u w:val="single"/>
    </w:rPr>
  </w:style>
  <w:style w:type="paragraph" w:styleId="Notedebasdepage">
    <w:name w:val="footnote text"/>
    <w:basedOn w:val="Normal"/>
    <w:link w:val="NotedebasdepageCar"/>
    <w:uiPriority w:val="99"/>
    <w:semiHidden/>
    <w:unhideWhenUsed/>
    <w:rsid w:val="001A06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06B9"/>
    <w:rPr>
      <w:sz w:val="20"/>
      <w:szCs w:val="20"/>
    </w:rPr>
  </w:style>
  <w:style w:type="character" w:styleId="Appelnotedebasdep">
    <w:name w:val="footnote reference"/>
    <w:basedOn w:val="Policepardfaut"/>
    <w:uiPriority w:val="99"/>
    <w:semiHidden/>
    <w:unhideWhenUsed/>
    <w:rsid w:val="001A06B9"/>
    <w:rPr>
      <w:vertAlign w:val="superscript"/>
    </w:rPr>
  </w:style>
  <w:style w:type="paragraph" w:styleId="Textedebulles">
    <w:name w:val="Balloon Text"/>
    <w:basedOn w:val="Normal"/>
    <w:link w:val="TextedebullesCar"/>
    <w:uiPriority w:val="99"/>
    <w:semiHidden/>
    <w:unhideWhenUsed/>
    <w:rsid w:val="008F60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02F"/>
    <w:rPr>
      <w:rFonts w:ascii="Tahoma" w:hAnsi="Tahoma" w:cs="Tahoma"/>
      <w:sz w:val="16"/>
      <w:szCs w:val="16"/>
    </w:rPr>
  </w:style>
  <w:style w:type="paragraph" w:customStyle="1" w:styleId="Default">
    <w:name w:val="Default"/>
    <w:rsid w:val="00B54A83"/>
    <w:pPr>
      <w:autoSpaceDE w:val="0"/>
      <w:autoSpaceDN w:val="0"/>
      <w:adjustRightInd w:val="0"/>
      <w:spacing w:after="0" w:line="240" w:lineRule="auto"/>
    </w:pPr>
    <w:rPr>
      <w:rFonts w:ascii="Arial" w:hAnsi="Arial" w:cs="Arial"/>
      <w:color w:val="000000"/>
      <w:sz w:val="24"/>
      <w:szCs w:val="24"/>
    </w:rPr>
  </w:style>
  <w:style w:type="paragraph" w:customStyle="1" w:styleId="Notabene">
    <w:name w:val="Nota bene"/>
    <w:basedOn w:val="Normal"/>
    <w:rsid w:val="00B54A83"/>
    <w:pPr>
      <w:tabs>
        <w:tab w:val="left" w:pos="1418"/>
      </w:tabs>
      <w:spacing w:after="0" w:line="320" w:lineRule="exact"/>
      <w:ind w:left="1418" w:hanging="567"/>
      <w:jc w:val="both"/>
    </w:pPr>
    <w:rPr>
      <w:rFonts w:ascii="Times New Roman" w:eastAsia="Times New Roman" w:hAnsi="Times New Roman" w:cs="Times New Roman"/>
      <w:i/>
      <w:color w:val="000080"/>
      <w:sz w:val="20"/>
      <w:szCs w:val="20"/>
    </w:rPr>
  </w:style>
  <w:style w:type="paragraph" w:customStyle="1" w:styleId="Tiret">
    <w:name w:val="Tiret"/>
    <w:basedOn w:val="Normal"/>
    <w:link w:val="TiretCar"/>
    <w:rsid w:val="00B54A83"/>
    <w:pPr>
      <w:numPr>
        <w:numId w:val="15"/>
      </w:numPr>
      <w:tabs>
        <w:tab w:val="left" w:pos="227"/>
      </w:tabs>
      <w:spacing w:after="0" w:line="320" w:lineRule="exact"/>
      <w:ind w:left="1078"/>
      <w:jc w:val="both"/>
    </w:pPr>
    <w:rPr>
      <w:rFonts w:ascii="Times New Roman" w:eastAsia="Times New Roman" w:hAnsi="Times New Roman" w:cs="Times New Roman"/>
      <w:sz w:val="24"/>
      <w:szCs w:val="20"/>
    </w:rPr>
  </w:style>
  <w:style w:type="character" w:customStyle="1" w:styleId="TiretCar">
    <w:name w:val="Tiret Car"/>
    <w:basedOn w:val="Policepardfaut"/>
    <w:link w:val="Tiret"/>
    <w:rsid w:val="00B54A83"/>
    <w:rPr>
      <w:rFonts w:ascii="Times New Roman" w:eastAsia="Times New Roman" w:hAnsi="Times New Roman" w:cs="Times New Roman"/>
      <w:sz w:val="24"/>
      <w:szCs w:val="20"/>
    </w:rPr>
  </w:style>
  <w:style w:type="character" w:customStyle="1" w:styleId="Titre3Car">
    <w:name w:val="Titre 3 Car"/>
    <w:basedOn w:val="Policepardfaut"/>
    <w:link w:val="Titre3"/>
    <w:uiPriority w:val="9"/>
    <w:rsid w:val="00847C00"/>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6E59A0"/>
    <w:pPr>
      <w:tabs>
        <w:tab w:val="center" w:pos="4536"/>
        <w:tab w:val="right" w:pos="9072"/>
      </w:tabs>
      <w:spacing w:after="0" w:line="240" w:lineRule="auto"/>
    </w:pPr>
  </w:style>
  <w:style w:type="character" w:customStyle="1" w:styleId="En-tteCar">
    <w:name w:val="En-tête Car"/>
    <w:basedOn w:val="Policepardfaut"/>
    <w:link w:val="En-tte"/>
    <w:uiPriority w:val="99"/>
    <w:rsid w:val="006E59A0"/>
  </w:style>
  <w:style w:type="paragraph" w:styleId="Pieddepage">
    <w:name w:val="footer"/>
    <w:basedOn w:val="Normal"/>
    <w:link w:val="PieddepageCar"/>
    <w:uiPriority w:val="99"/>
    <w:unhideWhenUsed/>
    <w:rsid w:val="006E59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9A0"/>
  </w:style>
  <w:style w:type="paragraph" w:styleId="Paragraphedeliste">
    <w:name w:val="List Paragraph"/>
    <w:basedOn w:val="Normal"/>
    <w:uiPriority w:val="34"/>
    <w:qFormat/>
    <w:rsid w:val="00B526E3"/>
    <w:pPr>
      <w:ind w:left="720"/>
      <w:contextualSpacing/>
    </w:pPr>
    <w:rPr>
      <w:rFonts w:ascii="Calibri" w:eastAsia="Calibri" w:hAnsi="Calibri" w:cs="Times New Roman"/>
      <w:lang w:eastAsia="en-US"/>
    </w:rPr>
  </w:style>
  <w:style w:type="paragraph" w:styleId="Sansinterligne">
    <w:name w:val="No Spacing"/>
    <w:uiPriority w:val="1"/>
    <w:qFormat/>
    <w:rsid w:val="00280730"/>
    <w:pPr>
      <w:spacing w:after="0" w:line="240" w:lineRule="auto"/>
    </w:pPr>
  </w:style>
  <w:style w:type="character" w:customStyle="1" w:styleId="Titre1Car">
    <w:name w:val="Titre 1 Car"/>
    <w:basedOn w:val="Policepardfaut"/>
    <w:link w:val="Titre1"/>
    <w:uiPriority w:val="9"/>
    <w:rsid w:val="00280730"/>
    <w:rPr>
      <w:rFonts w:asciiTheme="majorHAnsi" w:eastAsiaTheme="majorEastAsia" w:hAnsiTheme="majorHAnsi" w:cstheme="majorBidi"/>
      <w:color w:val="365F91" w:themeColor="accent1" w:themeShade="BF"/>
      <w:sz w:val="32"/>
      <w:szCs w:val="32"/>
    </w:rPr>
  </w:style>
  <w:style w:type="table" w:customStyle="1" w:styleId="Grilledutableau1">
    <w:name w:val="Grille du tableau1"/>
    <w:basedOn w:val="TableauNormal"/>
    <w:next w:val="Grilledutableau"/>
    <w:uiPriority w:val="59"/>
    <w:rsid w:val="000C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auNormal"/>
    <w:next w:val="Grilledutableau"/>
    <w:uiPriority w:val="59"/>
    <w:rsid w:val="000C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59"/>
    <w:rsid w:val="000C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1">
    <w:name w:val="Grille du tableau11"/>
    <w:basedOn w:val="TableauNormal"/>
    <w:next w:val="Grilledutableau"/>
    <w:rsid w:val="000C1D8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0C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uiPriority w:val="9"/>
    <w:rsid w:val="001324C4"/>
    <w:rPr>
      <w:rFonts w:asciiTheme="majorHAnsi" w:eastAsiaTheme="majorEastAsia" w:hAnsiTheme="majorHAnsi" w:cstheme="majorBidi"/>
      <w:color w:val="365F91" w:themeColor="accent1" w:themeShade="BF"/>
      <w:sz w:val="26"/>
      <w:szCs w:val="26"/>
    </w:rPr>
  </w:style>
  <w:style w:type="paragraph" w:styleId="En-ttedetabledesmatires">
    <w:name w:val="TOC Heading"/>
    <w:basedOn w:val="Titre1"/>
    <w:next w:val="Normal"/>
    <w:uiPriority w:val="39"/>
    <w:unhideWhenUsed/>
    <w:qFormat/>
    <w:rsid w:val="00607A83"/>
    <w:pPr>
      <w:spacing w:line="259" w:lineRule="auto"/>
      <w:outlineLvl w:val="9"/>
    </w:pPr>
  </w:style>
  <w:style w:type="paragraph" w:styleId="TM1">
    <w:name w:val="toc 1"/>
    <w:basedOn w:val="Normal"/>
    <w:next w:val="Normal"/>
    <w:autoRedefine/>
    <w:uiPriority w:val="39"/>
    <w:unhideWhenUsed/>
    <w:rsid w:val="00607A83"/>
    <w:pPr>
      <w:spacing w:after="100"/>
    </w:pPr>
  </w:style>
  <w:style w:type="paragraph" w:styleId="TM2">
    <w:name w:val="toc 2"/>
    <w:basedOn w:val="Normal"/>
    <w:next w:val="Normal"/>
    <w:autoRedefine/>
    <w:uiPriority w:val="39"/>
    <w:unhideWhenUsed/>
    <w:rsid w:val="00607A83"/>
    <w:pPr>
      <w:spacing w:after="100"/>
      <w:ind w:left="220"/>
    </w:pPr>
  </w:style>
  <w:style w:type="paragraph" w:styleId="Corpsdetexte">
    <w:name w:val="Body Text"/>
    <w:basedOn w:val="Normal"/>
    <w:link w:val="CorpsdetexteCar"/>
    <w:uiPriority w:val="99"/>
    <w:semiHidden/>
    <w:unhideWhenUsed/>
    <w:rsid w:val="00621E36"/>
    <w:pPr>
      <w:spacing w:after="120" w:line="240" w:lineRule="auto"/>
    </w:pPr>
    <w:rPr>
      <w:rFonts w:ascii="Times New Roman" w:eastAsia="Calibri" w:hAnsi="Times New Roman" w:cs="Times New Roman"/>
      <w:sz w:val="24"/>
      <w:szCs w:val="24"/>
    </w:rPr>
  </w:style>
  <w:style w:type="character" w:customStyle="1" w:styleId="CorpsdetexteCar">
    <w:name w:val="Corps de texte Car"/>
    <w:basedOn w:val="Policepardfaut"/>
    <w:link w:val="Corpsdetexte"/>
    <w:uiPriority w:val="99"/>
    <w:semiHidden/>
    <w:rsid w:val="00621E36"/>
    <w:rPr>
      <w:rFonts w:ascii="Times New Roman" w:eastAsia="Calibri" w:hAnsi="Times New Roman" w:cs="Times New Roman"/>
      <w:sz w:val="24"/>
      <w:szCs w:val="24"/>
    </w:rPr>
  </w:style>
  <w:style w:type="paragraph" w:styleId="Corpsdetexte3">
    <w:name w:val="Body Text 3"/>
    <w:basedOn w:val="Normal"/>
    <w:link w:val="Corpsdetexte3Car"/>
    <w:uiPriority w:val="99"/>
    <w:semiHidden/>
    <w:unhideWhenUsed/>
    <w:rsid w:val="00621E36"/>
    <w:pPr>
      <w:spacing w:after="120" w:line="240" w:lineRule="auto"/>
    </w:pPr>
    <w:rPr>
      <w:rFonts w:ascii="Times New Roman" w:eastAsia="Calibri" w:hAnsi="Times New Roman" w:cs="Times New Roman"/>
      <w:sz w:val="16"/>
      <w:szCs w:val="16"/>
    </w:rPr>
  </w:style>
  <w:style w:type="character" w:customStyle="1" w:styleId="Corpsdetexte3Car">
    <w:name w:val="Corps de texte 3 Car"/>
    <w:basedOn w:val="Policepardfaut"/>
    <w:link w:val="Corpsdetexte3"/>
    <w:uiPriority w:val="99"/>
    <w:semiHidden/>
    <w:rsid w:val="00621E36"/>
    <w:rPr>
      <w:rFonts w:ascii="Times New Roman" w:eastAsia="Calibri" w:hAnsi="Times New Roman" w:cs="Times New Roman"/>
      <w:sz w:val="16"/>
      <w:szCs w:val="16"/>
    </w:rPr>
  </w:style>
  <w:style w:type="character" w:styleId="lev">
    <w:name w:val="Strong"/>
    <w:basedOn w:val="Policepardfaut"/>
    <w:uiPriority w:val="22"/>
    <w:qFormat/>
    <w:rsid w:val="005B663E"/>
    <w:rPr>
      <w:b/>
      <w:bCs/>
    </w:rPr>
  </w:style>
  <w:style w:type="character" w:styleId="Mention">
    <w:name w:val="Mention"/>
    <w:basedOn w:val="Policepardfaut"/>
    <w:uiPriority w:val="99"/>
    <w:semiHidden/>
    <w:unhideWhenUsed/>
    <w:rsid w:val="005F2686"/>
    <w:rPr>
      <w:color w:val="2B579A"/>
      <w:shd w:val="clear" w:color="auto" w:fill="E6E6E6"/>
    </w:rPr>
  </w:style>
  <w:style w:type="character" w:styleId="Lienhypertextesuivivisit">
    <w:name w:val="FollowedHyperlink"/>
    <w:basedOn w:val="Policepardfaut"/>
    <w:uiPriority w:val="99"/>
    <w:semiHidden/>
    <w:unhideWhenUsed/>
    <w:rsid w:val="00905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92242">
      <w:bodyDiv w:val="1"/>
      <w:marLeft w:val="0"/>
      <w:marRight w:val="0"/>
      <w:marTop w:val="0"/>
      <w:marBottom w:val="0"/>
      <w:divBdr>
        <w:top w:val="none" w:sz="0" w:space="0" w:color="auto"/>
        <w:left w:val="none" w:sz="0" w:space="0" w:color="auto"/>
        <w:bottom w:val="none" w:sz="0" w:space="0" w:color="auto"/>
        <w:right w:val="none" w:sz="0" w:space="0" w:color="auto"/>
      </w:divBdr>
      <w:divsChild>
        <w:div w:id="2134785132">
          <w:marLeft w:val="0"/>
          <w:marRight w:val="0"/>
          <w:marTop w:val="0"/>
          <w:marBottom w:val="85"/>
          <w:divBdr>
            <w:top w:val="none" w:sz="0" w:space="0" w:color="auto"/>
            <w:left w:val="none" w:sz="0" w:space="0" w:color="auto"/>
            <w:bottom w:val="none" w:sz="0" w:space="0" w:color="auto"/>
            <w:right w:val="none" w:sz="0" w:space="0" w:color="auto"/>
          </w:divBdr>
        </w:div>
        <w:div w:id="592785685">
          <w:marLeft w:val="0"/>
          <w:marRight w:val="0"/>
          <w:marTop w:val="85"/>
          <w:marBottom w:val="0"/>
          <w:divBdr>
            <w:top w:val="none" w:sz="0" w:space="0" w:color="auto"/>
            <w:left w:val="none" w:sz="0" w:space="0" w:color="auto"/>
            <w:bottom w:val="none" w:sz="0" w:space="0" w:color="auto"/>
            <w:right w:val="none" w:sz="0" w:space="0" w:color="auto"/>
          </w:divBdr>
        </w:div>
      </w:divsChild>
    </w:div>
    <w:div w:id="189031805">
      <w:bodyDiv w:val="1"/>
      <w:marLeft w:val="0"/>
      <w:marRight w:val="0"/>
      <w:marTop w:val="0"/>
      <w:marBottom w:val="0"/>
      <w:divBdr>
        <w:top w:val="none" w:sz="0" w:space="0" w:color="auto"/>
        <w:left w:val="none" w:sz="0" w:space="0" w:color="auto"/>
        <w:bottom w:val="none" w:sz="0" w:space="0" w:color="auto"/>
        <w:right w:val="none" w:sz="0" w:space="0" w:color="auto"/>
      </w:divBdr>
    </w:div>
    <w:div w:id="481774082">
      <w:bodyDiv w:val="1"/>
      <w:marLeft w:val="0"/>
      <w:marRight w:val="0"/>
      <w:marTop w:val="0"/>
      <w:marBottom w:val="0"/>
      <w:divBdr>
        <w:top w:val="none" w:sz="0" w:space="0" w:color="auto"/>
        <w:left w:val="none" w:sz="0" w:space="0" w:color="auto"/>
        <w:bottom w:val="none" w:sz="0" w:space="0" w:color="auto"/>
        <w:right w:val="none" w:sz="0" w:space="0" w:color="auto"/>
      </w:divBdr>
    </w:div>
    <w:div w:id="595747674">
      <w:bodyDiv w:val="1"/>
      <w:marLeft w:val="0"/>
      <w:marRight w:val="0"/>
      <w:marTop w:val="0"/>
      <w:marBottom w:val="0"/>
      <w:divBdr>
        <w:top w:val="none" w:sz="0" w:space="0" w:color="auto"/>
        <w:left w:val="none" w:sz="0" w:space="0" w:color="auto"/>
        <w:bottom w:val="none" w:sz="0" w:space="0" w:color="auto"/>
        <w:right w:val="none" w:sz="0" w:space="0" w:color="auto"/>
      </w:divBdr>
      <w:divsChild>
        <w:div w:id="189418552">
          <w:marLeft w:val="0"/>
          <w:marRight w:val="0"/>
          <w:marTop w:val="0"/>
          <w:marBottom w:val="85"/>
          <w:divBdr>
            <w:top w:val="none" w:sz="0" w:space="0" w:color="auto"/>
            <w:left w:val="none" w:sz="0" w:space="0" w:color="auto"/>
            <w:bottom w:val="none" w:sz="0" w:space="0" w:color="auto"/>
            <w:right w:val="none" w:sz="0" w:space="0" w:color="auto"/>
          </w:divBdr>
        </w:div>
        <w:div w:id="790368531">
          <w:marLeft w:val="0"/>
          <w:marRight w:val="0"/>
          <w:marTop w:val="85"/>
          <w:marBottom w:val="0"/>
          <w:divBdr>
            <w:top w:val="none" w:sz="0" w:space="0" w:color="auto"/>
            <w:left w:val="none" w:sz="0" w:space="0" w:color="auto"/>
            <w:bottom w:val="none" w:sz="0" w:space="0" w:color="auto"/>
            <w:right w:val="none" w:sz="0" w:space="0" w:color="auto"/>
          </w:divBdr>
        </w:div>
      </w:divsChild>
    </w:div>
    <w:div w:id="708409907">
      <w:bodyDiv w:val="1"/>
      <w:marLeft w:val="0"/>
      <w:marRight w:val="0"/>
      <w:marTop w:val="0"/>
      <w:marBottom w:val="0"/>
      <w:divBdr>
        <w:top w:val="none" w:sz="0" w:space="0" w:color="auto"/>
        <w:left w:val="none" w:sz="0" w:space="0" w:color="auto"/>
        <w:bottom w:val="none" w:sz="0" w:space="0" w:color="auto"/>
        <w:right w:val="none" w:sz="0" w:space="0" w:color="auto"/>
      </w:divBdr>
      <w:divsChild>
        <w:div w:id="1826388316">
          <w:marLeft w:val="0"/>
          <w:marRight w:val="0"/>
          <w:marTop w:val="0"/>
          <w:marBottom w:val="85"/>
          <w:divBdr>
            <w:top w:val="none" w:sz="0" w:space="0" w:color="auto"/>
            <w:left w:val="none" w:sz="0" w:space="0" w:color="auto"/>
            <w:bottom w:val="none" w:sz="0" w:space="0" w:color="auto"/>
            <w:right w:val="none" w:sz="0" w:space="0" w:color="auto"/>
          </w:divBdr>
        </w:div>
        <w:div w:id="1919319236">
          <w:marLeft w:val="0"/>
          <w:marRight w:val="0"/>
          <w:marTop w:val="85"/>
          <w:marBottom w:val="0"/>
          <w:divBdr>
            <w:top w:val="none" w:sz="0" w:space="0" w:color="auto"/>
            <w:left w:val="none" w:sz="0" w:space="0" w:color="auto"/>
            <w:bottom w:val="none" w:sz="0" w:space="0" w:color="auto"/>
            <w:right w:val="none" w:sz="0" w:space="0" w:color="auto"/>
          </w:divBdr>
        </w:div>
      </w:divsChild>
    </w:div>
    <w:div w:id="715130343">
      <w:bodyDiv w:val="1"/>
      <w:marLeft w:val="0"/>
      <w:marRight w:val="0"/>
      <w:marTop w:val="0"/>
      <w:marBottom w:val="0"/>
      <w:divBdr>
        <w:top w:val="none" w:sz="0" w:space="0" w:color="auto"/>
        <w:left w:val="none" w:sz="0" w:space="0" w:color="auto"/>
        <w:bottom w:val="none" w:sz="0" w:space="0" w:color="auto"/>
        <w:right w:val="none" w:sz="0" w:space="0" w:color="auto"/>
      </w:divBdr>
      <w:divsChild>
        <w:div w:id="1718551051">
          <w:marLeft w:val="0"/>
          <w:marRight w:val="0"/>
          <w:marTop w:val="0"/>
          <w:marBottom w:val="85"/>
          <w:divBdr>
            <w:top w:val="none" w:sz="0" w:space="0" w:color="auto"/>
            <w:left w:val="none" w:sz="0" w:space="0" w:color="auto"/>
            <w:bottom w:val="none" w:sz="0" w:space="0" w:color="auto"/>
            <w:right w:val="none" w:sz="0" w:space="0" w:color="auto"/>
          </w:divBdr>
        </w:div>
        <w:div w:id="1669598834">
          <w:marLeft w:val="0"/>
          <w:marRight w:val="0"/>
          <w:marTop w:val="85"/>
          <w:marBottom w:val="0"/>
          <w:divBdr>
            <w:top w:val="none" w:sz="0" w:space="0" w:color="auto"/>
            <w:left w:val="none" w:sz="0" w:space="0" w:color="auto"/>
            <w:bottom w:val="none" w:sz="0" w:space="0" w:color="auto"/>
            <w:right w:val="none" w:sz="0" w:space="0" w:color="auto"/>
          </w:divBdr>
        </w:div>
      </w:divsChild>
    </w:div>
    <w:div w:id="774250478">
      <w:bodyDiv w:val="1"/>
      <w:marLeft w:val="0"/>
      <w:marRight w:val="0"/>
      <w:marTop w:val="0"/>
      <w:marBottom w:val="0"/>
      <w:divBdr>
        <w:top w:val="none" w:sz="0" w:space="0" w:color="auto"/>
        <w:left w:val="none" w:sz="0" w:space="0" w:color="auto"/>
        <w:bottom w:val="none" w:sz="0" w:space="0" w:color="auto"/>
        <w:right w:val="none" w:sz="0" w:space="0" w:color="auto"/>
      </w:divBdr>
      <w:divsChild>
        <w:div w:id="1960263662">
          <w:marLeft w:val="0"/>
          <w:marRight w:val="0"/>
          <w:marTop w:val="0"/>
          <w:marBottom w:val="85"/>
          <w:divBdr>
            <w:top w:val="none" w:sz="0" w:space="0" w:color="auto"/>
            <w:left w:val="none" w:sz="0" w:space="0" w:color="auto"/>
            <w:bottom w:val="none" w:sz="0" w:space="0" w:color="auto"/>
            <w:right w:val="none" w:sz="0" w:space="0" w:color="auto"/>
          </w:divBdr>
        </w:div>
        <w:div w:id="970552116">
          <w:marLeft w:val="0"/>
          <w:marRight w:val="0"/>
          <w:marTop w:val="85"/>
          <w:marBottom w:val="0"/>
          <w:divBdr>
            <w:top w:val="none" w:sz="0" w:space="0" w:color="auto"/>
            <w:left w:val="none" w:sz="0" w:space="0" w:color="auto"/>
            <w:bottom w:val="none" w:sz="0" w:space="0" w:color="auto"/>
            <w:right w:val="none" w:sz="0" w:space="0" w:color="auto"/>
          </w:divBdr>
        </w:div>
      </w:divsChild>
    </w:div>
    <w:div w:id="786774708">
      <w:bodyDiv w:val="1"/>
      <w:marLeft w:val="0"/>
      <w:marRight w:val="0"/>
      <w:marTop w:val="0"/>
      <w:marBottom w:val="0"/>
      <w:divBdr>
        <w:top w:val="none" w:sz="0" w:space="0" w:color="auto"/>
        <w:left w:val="none" w:sz="0" w:space="0" w:color="auto"/>
        <w:bottom w:val="none" w:sz="0" w:space="0" w:color="auto"/>
        <w:right w:val="none" w:sz="0" w:space="0" w:color="auto"/>
      </w:divBdr>
    </w:div>
    <w:div w:id="838039550">
      <w:bodyDiv w:val="1"/>
      <w:marLeft w:val="0"/>
      <w:marRight w:val="0"/>
      <w:marTop w:val="0"/>
      <w:marBottom w:val="0"/>
      <w:divBdr>
        <w:top w:val="none" w:sz="0" w:space="0" w:color="auto"/>
        <w:left w:val="none" w:sz="0" w:space="0" w:color="auto"/>
        <w:bottom w:val="none" w:sz="0" w:space="0" w:color="auto"/>
        <w:right w:val="none" w:sz="0" w:space="0" w:color="auto"/>
      </w:divBdr>
      <w:divsChild>
        <w:div w:id="540170971">
          <w:marLeft w:val="0"/>
          <w:marRight w:val="0"/>
          <w:marTop w:val="0"/>
          <w:marBottom w:val="85"/>
          <w:divBdr>
            <w:top w:val="none" w:sz="0" w:space="0" w:color="auto"/>
            <w:left w:val="none" w:sz="0" w:space="0" w:color="auto"/>
            <w:bottom w:val="none" w:sz="0" w:space="0" w:color="auto"/>
            <w:right w:val="none" w:sz="0" w:space="0" w:color="auto"/>
          </w:divBdr>
        </w:div>
        <w:div w:id="521289330">
          <w:marLeft w:val="0"/>
          <w:marRight w:val="0"/>
          <w:marTop w:val="85"/>
          <w:marBottom w:val="0"/>
          <w:divBdr>
            <w:top w:val="none" w:sz="0" w:space="0" w:color="auto"/>
            <w:left w:val="none" w:sz="0" w:space="0" w:color="auto"/>
            <w:bottom w:val="none" w:sz="0" w:space="0" w:color="auto"/>
            <w:right w:val="none" w:sz="0" w:space="0" w:color="auto"/>
          </w:divBdr>
        </w:div>
      </w:divsChild>
    </w:div>
    <w:div w:id="871458735">
      <w:bodyDiv w:val="1"/>
      <w:marLeft w:val="0"/>
      <w:marRight w:val="0"/>
      <w:marTop w:val="0"/>
      <w:marBottom w:val="0"/>
      <w:divBdr>
        <w:top w:val="none" w:sz="0" w:space="0" w:color="auto"/>
        <w:left w:val="none" w:sz="0" w:space="0" w:color="auto"/>
        <w:bottom w:val="none" w:sz="0" w:space="0" w:color="auto"/>
        <w:right w:val="none" w:sz="0" w:space="0" w:color="auto"/>
      </w:divBdr>
      <w:divsChild>
        <w:div w:id="112868948">
          <w:marLeft w:val="0"/>
          <w:marRight w:val="0"/>
          <w:marTop w:val="0"/>
          <w:marBottom w:val="0"/>
          <w:divBdr>
            <w:top w:val="none" w:sz="0" w:space="0" w:color="auto"/>
            <w:left w:val="none" w:sz="0" w:space="0" w:color="auto"/>
            <w:bottom w:val="none" w:sz="0" w:space="0" w:color="auto"/>
            <w:right w:val="none" w:sz="0" w:space="0" w:color="auto"/>
          </w:divBdr>
          <w:divsChild>
            <w:div w:id="1887259099">
              <w:marLeft w:val="0"/>
              <w:marRight w:val="0"/>
              <w:marTop w:val="0"/>
              <w:marBottom w:val="0"/>
              <w:divBdr>
                <w:top w:val="none" w:sz="0" w:space="0" w:color="auto"/>
                <w:left w:val="none" w:sz="0" w:space="0" w:color="auto"/>
                <w:bottom w:val="none" w:sz="0" w:space="0" w:color="auto"/>
                <w:right w:val="none" w:sz="0" w:space="0" w:color="auto"/>
              </w:divBdr>
              <w:divsChild>
                <w:div w:id="786699945">
                  <w:marLeft w:val="0"/>
                  <w:marRight w:val="0"/>
                  <w:marTop w:val="0"/>
                  <w:marBottom w:val="0"/>
                  <w:divBdr>
                    <w:top w:val="none" w:sz="0" w:space="0" w:color="auto"/>
                    <w:left w:val="none" w:sz="0" w:space="0" w:color="auto"/>
                    <w:bottom w:val="none" w:sz="0" w:space="0" w:color="auto"/>
                    <w:right w:val="none" w:sz="0" w:space="0" w:color="auto"/>
                  </w:divBdr>
                  <w:divsChild>
                    <w:div w:id="1054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32793">
      <w:bodyDiv w:val="1"/>
      <w:marLeft w:val="0"/>
      <w:marRight w:val="0"/>
      <w:marTop w:val="0"/>
      <w:marBottom w:val="0"/>
      <w:divBdr>
        <w:top w:val="none" w:sz="0" w:space="0" w:color="auto"/>
        <w:left w:val="none" w:sz="0" w:space="0" w:color="auto"/>
        <w:bottom w:val="none" w:sz="0" w:space="0" w:color="auto"/>
        <w:right w:val="none" w:sz="0" w:space="0" w:color="auto"/>
      </w:divBdr>
      <w:divsChild>
        <w:div w:id="248393851">
          <w:marLeft w:val="0"/>
          <w:marRight w:val="0"/>
          <w:marTop w:val="298"/>
          <w:marBottom w:val="298"/>
          <w:divBdr>
            <w:top w:val="none" w:sz="0" w:space="0" w:color="auto"/>
            <w:left w:val="none" w:sz="0" w:space="0" w:color="auto"/>
            <w:bottom w:val="none" w:sz="0" w:space="0" w:color="auto"/>
            <w:right w:val="none" w:sz="0" w:space="0" w:color="auto"/>
          </w:divBdr>
          <w:divsChild>
            <w:div w:id="575281948">
              <w:marLeft w:val="0"/>
              <w:marRight w:val="0"/>
              <w:marTop w:val="85"/>
              <w:marBottom w:val="0"/>
              <w:divBdr>
                <w:top w:val="none" w:sz="0" w:space="0" w:color="auto"/>
                <w:left w:val="none" w:sz="0" w:space="0" w:color="auto"/>
                <w:bottom w:val="none" w:sz="0" w:space="0" w:color="auto"/>
                <w:right w:val="none" w:sz="0" w:space="0" w:color="auto"/>
              </w:divBdr>
            </w:div>
          </w:divsChild>
        </w:div>
        <w:div w:id="519861081">
          <w:marLeft w:val="0"/>
          <w:marRight w:val="0"/>
          <w:marTop w:val="298"/>
          <w:marBottom w:val="298"/>
          <w:divBdr>
            <w:top w:val="none" w:sz="0" w:space="0" w:color="auto"/>
            <w:left w:val="none" w:sz="0" w:space="0" w:color="auto"/>
            <w:bottom w:val="none" w:sz="0" w:space="0" w:color="auto"/>
            <w:right w:val="none" w:sz="0" w:space="0" w:color="auto"/>
          </w:divBdr>
          <w:divsChild>
            <w:div w:id="17392321">
              <w:marLeft w:val="0"/>
              <w:marRight w:val="0"/>
              <w:marTop w:val="85"/>
              <w:marBottom w:val="0"/>
              <w:divBdr>
                <w:top w:val="none" w:sz="0" w:space="0" w:color="auto"/>
                <w:left w:val="none" w:sz="0" w:space="0" w:color="auto"/>
                <w:bottom w:val="none" w:sz="0" w:space="0" w:color="auto"/>
                <w:right w:val="none" w:sz="0" w:space="0" w:color="auto"/>
              </w:divBdr>
            </w:div>
          </w:divsChild>
        </w:div>
        <w:div w:id="680817748">
          <w:marLeft w:val="0"/>
          <w:marRight w:val="0"/>
          <w:marTop w:val="298"/>
          <w:marBottom w:val="298"/>
          <w:divBdr>
            <w:top w:val="none" w:sz="0" w:space="0" w:color="auto"/>
            <w:left w:val="none" w:sz="0" w:space="0" w:color="auto"/>
            <w:bottom w:val="none" w:sz="0" w:space="0" w:color="auto"/>
            <w:right w:val="none" w:sz="0" w:space="0" w:color="auto"/>
          </w:divBdr>
          <w:divsChild>
            <w:div w:id="1209537321">
              <w:marLeft w:val="0"/>
              <w:marRight w:val="0"/>
              <w:marTop w:val="85"/>
              <w:marBottom w:val="0"/>
              <w:divBdr>
                <w:top w:val="none" w:sz="0" w:space="0" w:color="auto"/>
                <w:left w:val="none" w:sz="0" w:space="0" w:color="auto"/>
                <w:bottom w:val="none" w:sz="0" w:space="0" w:color="auto"/>
                <w:right w:val="none" w:sz="0" w:space="0" w:color="auto"/>
              </w:divBdr>
            </w:div>
          </w:divsChild>
        </w:div>
        <w:div w:id="503133009">
          <w:marLeft w:val="0"/>
          <w:marRight w:val="0"/>
          <w:marTop w:val="298"/>
          <w:marBottom w:val="298"/>
          <w:divBdr>
            <w:top w:val="none" w:sz="0" w:space="0" w:color="auto"/>
            <w:left w:val="none" w:sz="0" w:space="0" w:color="auto"/>
            <w:bottom w:val="none" w:sz="0" w:space="0" w:color="auto"/>
            <w:right w:val="none" w:sz="0" w:space="0" w:color="auto"/>
          </w:divBdr>
          <w:divsChild>
            <w:div w:id="1547598190">
              <w:marLeft w:val="0"/>
              <w:marRight w:val="0"/>
              <w:marTop w:val="85"/>
              <w:marBottom w:val="0"/>
              <w:divBdr>
                <w:top w:val="none" w:sz="0" w:space="0" w:color="auto"/>
                <w:left w:val="none" w:sz="0" w:space="0" w:color="auto"/>
                <w:bottom w:val="none" w:sz="0" w:space="0" w:color="auto"/>
                <w:right w:val="none" w:sz="0" w:space="0" w:color="auto"/>
              </w:divBdr>
            </w:div>
          </w:divsChild>
        </w:div>
        <w:div w:id="686520110">
          <w:marLeft w:val="0"/>
          <w:marRight w:val="0"/>
          <w:marTop w:val="298"/>
          <w:marBottom w:val="298"/>
          <w:divBdr>
            <w:top w:val="none" w:sz="0" w:space="0" w:color="auto"/>
            <w:left w:val="none" w:sz="0" w:space="0" w:color="auto"/>
            <w:bottom w:val="none" w:sz="0" w:space="0" w:color="auto"/>
            <w:right w:val="none" w:sz="0" w:space="0" w:color="auto"/>
          </w:divBdr>
          <w:divsChild>
            <w:div w:id="1183203123">
              <w:marLeft w:val="0"/>
              <w:marRight w:val="0"/>
              <w:marTop w:val="85"/>
              <w:marBottom w:val="0"/>
              <w:divBdr>
                <w:top w:val="none" w:sz="0" w:space="0" w:color="auto"/>
                <w:left w:val="none" w:sz="0" w:space="0" w:color="auto"/>
                <w:bottom w:val="none" w:sz="0" w:space="0" w:color="auto"/>
                <w:right w:val="none" w:sz="0" w:space="0" w:color="auto"/>
              </w:divBdr>
            </w:div>
          </w:divsChild>
        </w:div>
        <w:div w:id="1507859669">
          <w:marLeft w:val="0"/>
          <w:marRight w:val="0"/>
          <w:marTop w:val="298"/>
          <w:marBottom w:val="298"/>
          <w:divBdr>
            <w:top w:val="none" w:sz="0" w:space="0" w:color="auto"/>
            <w:left w:val="none" w:sz="0" w:space="0" w:color="auto"/>
            <w:bottom w:val="none" w:sz="0" w:space="0" w:color="auto"/>
            <w:right w:val="none" w:sz="0" w:space="0" w:color="auto"/>
          </w:divBdr>
          <w:divsChild>
            <w:div w:id="1245601812">
              <w:marLeft w:val="0"/>
              <w:marRight w:val="0"/>
              <w:marTop w:val="0"/>
              <w:marBottom w:val="85"/>
              <w:divBdr>
                <w:top w:val="none" w:sz="0" w:space="0" w:color="auto"/>
                <w:left w:val="none" w:sz="0" w:space="0" w:color="auto"/>
                <w:bottom w:val="none" w:sz="0" w:space="0" w:color="auto"/>
                <w:right w:val="none" w:sz="0" w:space="0" w:color="auto"/>
              </w:divBdr>
            </w:div>
            <w:div w:id="237058111">
              <w:marLeft w:val="0"/>
              <w:marRight w:val="0"/>
              <w:marTop w:val="0"/>
              <w:marBottom w:val="85"/>
              <w:divBdr>
                <w:top w:val="none" w:sz="0" w:space="0" w:color="auto"/>
                <w:left w:val="none" w:sz="0" w:space="0" w:color="auto"/>
                <w:bottom w:val="none" w:sz="0" w:space="0" w:color="auto"/>
                <w:right w:val="none" w:sz="0" w:space="0" w:color="auto"/>
              </w:divBdr>
            </w:div>
            <w:div w:id="1699500327">
              <w:marLeft w:val="0"/>
              <w:marRight w:val="0"/>
              <w:marTop w:val="85"/>
              <w:marBottom w:val="0"/>
              <w:divBdr>
                <w:top w:val="none" w:sz="0" w:space="0" w:color="auto"/>
                <w:left w:val="none" w:sz="0" w:space="0" w:color="auto"/>
                <w:bottom w:val="none" w:sz="0" w:space="0" w:color="auto"/>
                <w:right w:val="none" w:sz="0" w:space="0" w:color="auto"/>
              </w:divBdr>
            </w:div>
          </w:divsChild>
        </w:div>
        <w:div w:id="2029210627">
          <w:marLeft w:val="0"/>
          <w:marRight w:val="0"/>
          <w:marTop w:val="298"/>
          <w:marBottom w:val="298"/>
          <w:divBdr>
            <w:top w:val="none" w:sz="0" w:space="0" w:color="auto"/>
            <w:left w:val="none" w:sz="0" w:space="0" w:color="auto"/>
            <w:bottom w:val="none" w:sz="0" w:space="0" w:color="auto"/>
            <w:right w:val="none" w:sz="0" w:space="0" w:color="auto"/>
          </w:divBdr>
          <w:divsChild>
            <w:div w:id="537938762">
              <w:marLeft w:val="0"/>
              <w:marRight w:val="0"/>
              <w:marTop w:val="85"/>
              <w:marBottom w:val="0"/>
              <w:divBdr>
                <w:top w:val="none" w:sz="0" w:space="0" w:color="auto"/>
                <w:left w:val="none" w:sz="0" w:space="0" w:color="auto"/>
                <w:bottom w:val="none" w:sz="0" w:space="0" w:color="auto"/>
                <w:right w:val="none" w:sz="0" w:space="0" w:color="auto"/>
              </w:divBdr>
            </w:div>
          </w:divsChild>
        </w:div>
      </w:divsChild>
    </w:div>
    <w:div w:id="1343321309">
      <w:bodyDiv w:val="1"/>
      <w:marLeft w:val="0"/>
      <w:marRight w:val="0"/>
      <w:marTop w:val="0"/>
      <w:marBottom w:val="0"/>
      <w:divBdr>
        <w:top w:val="none" w:sz="0" w:space="0" w:color="auto"/>
        <w:left w:val="none" w:sz="0" w:space="0" w:color="auto"/>
        <w:bottom w:val="none" w:sz="0" w:space="0" w:color="auto"/>
        <w:right w:val="none" w:sz="0" w:space="0" w:color="auto"/>
      </w:divBdr>
      <w:divsChild>
        <w:div w:id="13575434">
          <w:marLeft w:val="0"/>
          <w:marRight w:val="0"/>
          <w:marTop w:val="0"/>
          <w:marBottom w:val="85"/>
          <w:divBdr>
            <w:top w:val="none" w:sz="0" w:space="0" w:color="auto"/>
            <w:left w:val="none" w:sz="0" w:space="0" w:color="auto"/>
            <w:bottom w:val="none" w:sz="0" w:space="0" w:color="auto"/>
            <w:right w:val="none" w:sz="0" w:space="0" w:color="auto"/>
          </w:divBdr>
        </w:div>
        <w:div w:id="367723766">
          <w:marLeft w:val="0"/>
          <w:marRight w:val="0"/>
          <w:marTop w:val="85"/>
          <w:marBottom w:val="0"/>
          <w:divBdr>
            <w:top w:val="none" w:sz="0" w:space="0" w:color="auto"/>
            <w:left w:val="none" w:sz="0" w:space="0" w:color="auto"/>
            <w:bottom w:val="none" w:sz="0" w:space="0" w:color="auto"/>
            <w:right w:val="none" w:sz="0" w:space="0" w:color="auto"/>
          </w:divBdr>
        </w:div>
      </w:divsChild>
    </w:div>
    <w:div w:id="1419785189">
      <w:bodyDiv w:val="1"/>
      <w:marLeft w:val="0"/>
      <w:marRight w:val="0"/>
      <w:marTop w:val="0"/>
      <w:marBottom w:val="0"/>
      <w:divBdr>
        <w:top w:val="none" w:sz="0" w:space="0" w:color="auto"/>
        <w:left w:val="none" w:sz="0" w:space="0" w:color="auto"/>
        <w:bottom w:val="none" w:sz="0" w:space="0" w:color="auto"/>
        <w:right w:val="none" w:sz="0" w:space="0" w:color="auto"/>
      </w:divBdr>
      <w:divsChild>
        <w:div w:id="537816926">
          <w:marLeft w:val="0"/>
          <w:marRight w:val="0"/>
          <w:marTop w:val="0"/>
          <w:marBottom w:val="0"/>
          <w:divBdr>
            <w:top w:val="none" w:sz="0" w:space="0" w:color="auto"/>
            <w:left w:val="none" w:sz="0" w:space="0" w:color="auto"/>
            <w:bottom w:val="none" w:sz="0" w:space="0" w:color="auto"/>
            <w:right w:val="none" w:sz="0" w:space="0" w:color="auto"/>
          </w:divBdr>
        </w:div>
        <w:div w:id="48921101">
          <w:marLeft w:val="0"/>
          <w:marRight w:val="0"/>
          <w:marTop w:val="0"/>
          <w:marBottom w:val="0"/>
          <w:divBdr>
            <w:top w:val="none" w:sz="0" w:space="0" w:color="auto"/>
            <w:left w:val="none" w:sz="0" w:space="0" w:color="auto"/>
            <w:bottom w:val="none" w:sz="0" w:space="0" w:color="auto"/>
            <w:right w:val="none" w:sz="0" w:space="0" w:color="auto"/>
          </w:divBdr>
        </w:div>
        <w:div w:id="2089573718">
          <w:marLeft w:val="0"/>
          <w:marRight w:val="0"/>
          <w:marTop w:val="0"/>
          <w:marBottom w:val="0"/>
          <w:divBdr>
            <w:top w:val="none" w:sz="0" w:space="0" w:color="auto"/>
            <w:left w:val="none" w:sz="0" w:space="0" w:color="auto"/>
            <w:bottom w:val="none" w:sz="0" w:space="0" w:color="auto"/>
            <w:right w:val="none" w:sz="0" w:space="0" w:color="auto"/>
          </w:divBdr>
        </w:div>
      </w:divsChild>
    </w:div>
    <w:div w:id="1453212395">
      <w:bodyDiv w:val="1"/>
      <w:marLeft w:val="0"/>
      <w:marRight w:val="0"/>
      <w:marTop w:val="0"/>
      <w:marBottom w:val="0"/>
      <w:divBdr>
        <w:top w:val="none" w:sz="0" w:space="0" w:color="auto"/>
        <w:left w:val="none" w:sz="0" w:space="0" w:color="auto"/>
        <w:bottom w:val="none" w:sz="0" w:space="0" w:color="auto"/>
        <w:right w:val="none" w:sz="0" w:space="0" w:color="auto"/>
      </w:divBdr>
      <w:divsChild>
        <w:div w:id="1292787033">
          <w:marLeft w:val="0"/>
          <w:marRight w:val="0"/>
          <w:marTop w:val="0"/>
          <w:marBottom w:val="85"/>
          <w:divBdr>
            <w:top w:val="none" w:sz="0" w:space="0" w:color="auto"/>
            <w:left w:val="none" w:sz="0" w:space="0" w:color="auto"/>
            <w:bottom w:val="none" w:sz="0" w:space="0" w:color="auto"/>
            <w:right w:val="none" w:sz="0" w:space="0" w:color="auto"/>
          </w:divBdr>
        </w:div>
        <w:div w:id="1419522687">
          <w:marLeft w:val="0"/>
          <w:marRight w:val="0"/>
          <w:marTop w:val="85"/>
          <w:marBottom w:val="0"/>
          <w:divBdr>
            <w:top w:val="none" w:sz="0" w:space="0" w:color="auto"/>
            <w:left w:val="none" w:sz="0" w:space="0" w:color="auto"/>
            <w:bottom w:val="none" w:sz="0" w:space="0" w:color="auto"/>
            <w:right w:val="none" w:sz="0" w:space="0" w:color="auto"/>
          </w:divBdr>
        </w:div>
      </w:divsChild>
    </w:div>
    <w:div w:id="1466661613">
      <w:bodyDiv w:val="1"/>
      <w:marLeft w:val="0"/>
      <w:marRight w:val="0"/>
      <w:marTop w:val="0"/>
      <w:marBottom w:val="0"/>
      <w:divBdr>
        <w:top w:val="none" w:sz="0" w:space="0" w:color="auto"/>
        <w:left w:val="none" w:sz="0" w:space="0" w:color="auto"/>
        <w:bottom w:val="none" w:sz="0" w:space="0" w:color="auto"/>
        <w:right w:val="none" w:sz="0" w:space="0" w:color="auto"/>
      </w:divBdr>
      <w:divsChild>
        <w:div w:id="1022825023">
          <w:marLeft w:val="0"/>
          <w:marRight w:val="0"/>
          <w:marTop w:val="0"/>
          <w:marBottom w:val="85"/>
          <w:divBdr>
            <w:top w:val="none" w:sz="0" w:space="0" w:color="auto"/>
            <w:left w:val="none" w:sz="0" w:space="0" w:color="auto"/>
            <w:bottom w:val="none" w:sz="0" w:space="0" w:color="auto"/>
            <w:right w:val="none" w:sz="0" w:space="0" w:color="auto"/>
          </w:divBdr>
        </w:div>
        <w:div w:id="192152825">
          <w:marLeft w:val="0"/>
          <w:marRight w:val="0"/>
          <w:marTop w:val="85"/>
          <w:marBottom w:val="0"/>
          <w:divBdr>
            <w:top w:val="none" w:sz="0" w:space="0" w:color="auto"/>
            <w:left w:val="none" w:sz="0" w:space="0" w:color="auto"/>
            <w:bottom w:val="none" w:sz="0" w:space="0" w:color="auto"/>
            <w:right w:val="none" w:sz="0" w:space="0" w:color="auto"/>
          </w:divBdr>
        </w:div>
      </w:divsChild>
    </w:div>
    <w:div w:id="1478450274">
      <w:bodyDiv w:val="1"/>
      <w:marLeft w:val="0"/>
      <w:marRight w:val="0"/>
      <w:marTop w:val="0"/>
      <w:marBottom w:val="0"/>
      <w:divBdr>
        <w:top w:val="none" w:sz="0" w:space="0" w:color="auto"/>
        <w:left w:val="none" w:sz="0" w:space="0" w:color="auto"/>
        <w:bottom w:val="none" w:sz="0" w:space="0" w:color="auto"/>
        <w:right w:val="none" w:sz="0" w:space="0" w:color="auto"/>
      </w:divBdr>
      <w:divsChild>
        <w:div w:id="2132238831">
          <w:marLeft w:val="0"/>
          <w:marRight w:val="0"/>
          <w:marTop w:val="0"/>
          <w:marBottom w:val="85"/>
          <w:divBdr>
            <w:top w:val="none" w:sz="0" w:space="0" w:color="auto"/>
            <w:left w:val="none" w:sz="0" w:space="0" w:color="auto"/>
            <w:bottom w:val="none" w:sz="0" w:space="0" w:color="auto"/>
            <w:right w:val="none" w:sz="0" w:space="0" w:color="auto"/>
          </w:divBdr>
        </w:div>
        <w:div w:id="1082414108">
          <w:marLeft w:val="0"/>
          <w:marRight w:val="0"/>
          <w:marTop w:val="85"/>
          <w:marBottom w:val="0"/>
          <w:divBdr>
            <w:top w:val="none" w:sz="0" w:space="0" w:color="auto"/>
            <w:left w:val="none" w:sz="0" w:space="0" w:color="auto"/>
            <w:bottom w:val="none" w:sz="0" w:space="0" w:color="auto"/>
            <w:right w:val="none" w:sz="0" w:space="0" w:color="auto"/>
          </w:divBdr>
        </w:div>
      </w:divsChild>
    </w:div>
    <w:div w:id="1576161156">
      <w:bodyDiv w:val="1"/>
      <w:marLeft w:val="0"/>
      <w:marRight w:val="0"/>
      <w:marTop w:val="0"/>
      <w:marBottom w:val="0"/>
      <w:divBdr>
        <w:top w:val="none" w:sz="0" w:space="0" w:color="auto"/>
        <w:left w:val="none" w:sz="0" w:space="0" w:color="auto"/>
        <w:bottom w:val="none" w:sz="0" w:space="0" w:color="auto"/>
        <w:right w:val="none" w:sz="0" w:space="0" w:color="auto"/>
      </w:divBdr>
      <w:divsChild>
        <w:div w:id="584650396">
          <w:marLeft w:val="0"/>
          <w:marRight w:val="0"/>
          <w:marTop w:val="0"/>
          <w:marBottom w:val="85"/>
          <w:divBdr>
            <w:top w:val="none" w:sz="0" w:space="0" w:color="auto"/>
            <w:left w:val="none" w:sz="0" w:space="0" w:color="auto"/>
            <w:bottom w:val="none" w:sz="0" w:space="0" w:color="auto"/>
            <w:right w:val="none" w:sz="0" w:space="0" w:color="auto"/>
          </w:divBdr>
        </w:div>
        <w:div w:id="212423291">
          <w:marLeft w:val="0"/>
          <w:marRight w:val="0"/>
          <w:marTop w:val="85"/>
          <w:marBottom w:val="0"/>
          <w:divBdr>
            <w:top w:val="none" w:sz="0" w:space="0" w:color="auto"/>
            <w:left w:val="none" w:sz="0" w:space="0" w:color="auto"/>
            <w:bottom w:val="none" w:sz="0" w:space="0" w:color="auto"/>
            <w:right w:val="none" w:sz="0" w:space="0" w:color="auto"/>
          </w:divBdr>
        </w:div>
      </w:divsChild>
    </w:div>
    <w:div w:id="1774275550">
      <w:bodyDiv w:val="1"/>
      <w:marLeft w:val="0"/>
      <w:marRight w:val="0"/>
      <w:marTop w:val="0"/>
      <w:marBottom w:val="0"/>
      <w:divBdr>
        <w:top w:val="none" w:sz="0" w:space="0" w:color="auto"/>
        <w:left w:val="none" w:sz="0" w:space="0" w:color="auto"/>
        <w:bottom w:val="none" w:sz="0" w:space="0" w:color="auto"/>
        <w:right w:val="none" w:sz="0" w:space="0" w:color="auto"/>
      </w:divBdr>
      <w:divsChild>
        <w:div w:id="751858167">
          <w:marLeft w:val="0"/>
          <w:marRight w:val="0"/>
          <w:marTop w:val="0"/>
          <w:marBottom w:val="85"/>
          <w:divBdr>
            <w:top w:val="none" w:sz="0" w:space="0" w:color="auto"/>
            <w:left w:val="none" w:sz="0" w:space="0" w:color="auto"/>
            <w:bottom w:val="none" w:sz="0" w:space="0" w:color="auto"/>
            <w:right w:val="none" w:sz="0" w:space="0" w:color="auto"/>
          </w:divBdr>
        </w:div>
        <w:div w:id="1094549005">
          <w:marLeft w:val="0"/>
          <w:marRight w:val="0"/>
          <w:marTop w:val="85"/>
          <w:marBottom w:val="0"/>
          <w:divBdr>
            <w:top w:val="none" w:sz="0" w:space="0" w:color="auto"/>
            <w:left w:val="none" w:sz="0" w:space="0" w:color="auto"/>
            <w:bottom w:val="none" w:sz="0" w:space="0" w:color="auto"/>
            <w:right w:val="none" w:sz="0" w:space="0" w:color="auto"/>
          </w:divBdr>
        </w:div>
      </w:divsChild>
    </w:div>
    <w:div w:id="1887064819">
      <w:bodyDiv w:val="1"/>
      <w:marLeft w:val="0"/>
      <w:marRight w:val="0"/>
      <w:marTop w:val="0"/>
      <w:marBottom w:val="0"/>
      <w:divBdr>
        <w:top w:val="none" w:sz="0" w:space="0" w:color="auto"/>
        <w:left w:val="none" w:sz="0" w:space="0" w:color="auto"/>
        <w:bottom w:val="none" w:sz="0" w:space="0" w:color="auto"/>
        <w:right w:val="none" w:sz="0" w:space="0" w:color="auto"/>
      </w:divBdr>
      <w:divsChild>
        <w:div w:id="80178226">
          <w:marLeft w:val="0"/>
          <w:marRight w:val="0"/>
          <w:marTop w:val="0"/>
          <w:marBottom w:val="85"/>
          <w:divBdr>
            <w:top w:val="none" w:sz="0" w:space="0" w:color="auto"/>
            <w:left w:val="none" w:sz="0" w:space="0" w:color="auto"/>
            <w:bottom w:val="none" w:sz="0" w:space="0" w:color="auto"/>
            <w:right w:val="none" w:sz="0" w:space="0" w:color="auto"/>
          </w:divBdr>
        </w:div>
        <w:div w:id="1522821027">
          <w:marLeft w:val="0"/>
          <w:marRight w:val="0"/>
          <w:marTop w:val="85"/>
          <w:marBottom w:val="0"/>
          <w:divBdr>
            <w:top w:val="none" w:sz="0" w:space="0" w:color="auto"/>
            <w:left w:val="none" w:sz="0" w:space="0" w:color="auto"/>
            <w:bottom w:val="none" w:sz="0" w:space="0" w:color="auto"/>
            <w:right w:val="none" w:sz="0" w:space="0" w:color="auto"/>
          </w:divBdr>
        </w:div>
      </w:divsChild>
    </w:div>
    <w:div w:id="1910263803">
      <w:bodyDiv w:val="1"/>
      <w:marLeft w:val="0"/>
      <w:marRight w:val="0"/>
      <w:marTop w:val="0"/>
      <w:marBottom w:val="0"/>
      <w:divBdr>
        <w:top w:val="none" w:sz="0" w:space="0" w:color="auto"/>
        <w:left w:val="none" w:sz="0" w:space="0" w:color="auto"/>
        <w:bottom w:val="none" w:sz="0" w:space="0" w:color="auto"/>
        <w:right w:val="none" w:sz="0" w:space="0" w:color="auto"/>
      </w:divBdr>
    </w:div>
    <w:div w:id="1993021396">
      <w:bodyDiv w:val="1"/>
      <w:marLeft w:val="0"/>
      <w:marRight w:val="0"/>
      <w:marTop w:val="0"/>
      <w:marBottom w:val="0"/>
      <w:divBdr>
        <w:top w:val="none" w:sz="0" w:space="0" w:color="auto"/>
        <w:left w:val="none" w:sz="0" w:space="0" w:color="auto"/>
        <w:bottom w:val="none" w:sz="0" w:space="0" w:color="auto"/>
        <w:right w:val="none" w:sz="0" w:space="0" w:color="auto"/>
      </w:divBdr>
      <w:divsChild>
        <w:div w:id="276370295">
          <w:marLeft w:val="0"/>
          <w:marRight w:val="0"/>
          <w:marTop w:val="0"/>
          <w:marBottom w:val="85"/>
          <w:divBdr>
            <w:top w:val="none" w:sz="0" w:space="0" w:color="auto"/>
            <w:left w:val="none" w:sz="0" w:space="0" w:color="auto"/>
            <w:bottom w:val="none" w:sz="0" w:space="0" w:color="auto"/>
            <w:right w:val="none" w:sz="0" w:space="0" w:color="auto"/>
          </w:divBdr>
        </w:div>
        <w:div w:id="1041244375">
          <w:marLeft w:val="0"/>
          <w:marRight w:val="0"/>
          <w:marTop w:val="8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CB6769687669478CCF22BD4533EA22" ma:contentTypeVersion="0" ma:contentTypeDescription="Crée un document." ma:contentTypeScope="" ma:versionID="2547e68ad718dc5aea6d854baf60e96e">
  <xsd:schema xmlns:xsd="http://www.w3.org/2001/XMLSchema" xmlns:xs="http://www.w3.org/2001/XMLSchema" xmlns:p="http://schemas.microsoft.com/office/2006/metadata/properties" targetNamespace="http://schemas.microsoft.com/office/2006/metadata/properties" ma:root="true" ma:fieldsID="f8412c90d4362bd29ffbb751b51201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151D0-4F5B-4E35-AEA8-CAEFE1F8046C}">
  <ds:schemaRefs>
    <ds:schemaRef ds:uri="http://schemas.microsoft.com/sharepoint/v3/contenttype/forms"/>
  </ds:schemaRefs>
</ds:datastoreItem>
</file>

<file path=customXml/itemProps2.xml><?xml version="1.0" encoding="utf-8"?>
<ds:datastoreItem xmlns:ds="http://schemas.openxmlformats.org/officeDocument/2006/customXml" ds:itemID="{291F944B-615B-49C8-A481-6F39E50B7A93}">
  <ds:schemaRefs>
    <ds:schemaRef ds:uri="http://schemas.openxmlformats.org/officeDocument/2006/bibliography"/>
  </ds:schemaRefs>
</ds:datastoreItem>
</file>

<file path=customXml/itemProps3.xml><?xml version="1.0" encoding="utf-8"?>
<ds:datastoreItem xmlns:ds="http://schemas.openxmlformats.org/officeDocument/2006/customXml" ds:itemID="{B8588D31-7310-41A8-82F1-5C38EFFA8A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6EB11D-C212-4A1F-95CE-6DEF4226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Jeagz</dc:creator>
  <cp:lastModifiedBy>Aude Durand</cp:lastModifiedBy>
  <cp:revision>2</cp:revision>
  <cp:lastPrinted>2017-01-11T08:16:00Z</cp:lastPrinted>
  <dcterms:created xsi:type="dcterms:W3CDTF">2020-10-02T09:46:00Z</dcterms:created>
  <dcterms:modified xsi:type="dcterms:W3CDTF">2020-10-02T09:46:00Z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0x01010033CB6769687669478CCF22BD4533EA22</vt:lpwstr>
  </property>
</Properties>
</file>