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60109" w14:textId="77777777" w:rsidR="008236F5" w:rsidRPr="008236F5" w:rsidRDefault="008236F5" w:rsidP="008236F5">
      <w:pPr>
        <w:ind w:left="-5"/>
        <w:jc w:val="center"/>
        <w:rPr>
          <w:b/>
          <w:sz w:val="32"/>
          <w:szCs w:val="32"/>
        </w:rPr>
      </w:pPr>
      <w:r w:rsidRPr="008236F5">
        <w:rPr>
          <w:b/>
          <w:sz w:val="32"/>
          <w:szCs w:val="32"/>
        </w:rPr>
        <w:t>Procédure caisse</w:t>
      </w:r>
    </w:p>
    <w:p w14:paraId="18D27B82" w14:textId="77777777" w:rsidR="008236F5" w:rsidRDefault="008236F5">
      <w:pPr>
        <w:ind w:left="-5"/>
      </w:pPr>
    </w:p>
    <w:p w14:paraId="5DD8D768" w14:textId="77777777" w:rsidR="008236F5" w:rsidRDefault="008236F5">
      <w:pPr>
        <w:ind w:left="-5"/>
      </w:pPr>
    </w:p>
    <w:p w14:paraId="62CC9EED" w14:textId="77777777" w:rsidR="008236F5" w:rsidRDefault="00B137DB" w:rsidP="008236F5">
      <w:pPr>
        <w:pStyle w:val="Paragraphedeliste"/>
        <w:numPr>
          <w:ilvl w:val="0"/>
          <w:numId w:val="3"/>
        </w:numPr>
      </w:pPr>
      <w:r>
        <w:t xml:space="preserve">La caisse est gérée par </w:t>
      </w:r>
      <w:r w:rsidR="008236F5" w:rsidRPr="008236F5">
        <w:rPr>
          <w:highlight w:val="yellow"/>
        </w:rPr>
        <w:t xml:space="preserve">M…… (fonction – </w:t>
      </w:r>
      <w:r w:rsidR="008236F5" w:rsidRPr="008236F5">
        <w:rPr>
          <w:i/>
          <w:highlight w:val="yellow"/>
        </w:rPr>
        <w:t>secrétaire/comptable/etc.</w:t>
      </w:r>
      <w:r w:rsidR="008236F5" w:rsidRPr="008236F5">
        <w:rPr>
          <w:highlight w:val="yellow"/>
        </w:rPr>
        <w:t>).</w:t>
      </w:r>
    </w:p>
    <w:p w14:paraId="5EF9C462" w14:textId="22DB0D5D" w:rsidR="008236F5" w:rsidRDefault="008236F5" w:rsidP="008236F5">
      <w:pPr>
        <w:pStyle w:val="Paragraphedeliste"/>
        <w:numPr>
          <w:ilvl w:val="0"/>
          <w:numId w:val="3"/>
        </w:numPr>
      </w:pPr>
      <w:r>
        <w:t xml:space="preserve">Elle est stockée dans </w:t>
      </w:r>
      <w:r w:rsidRPr="00A528BB">
        <w:rPr>
          <w:highlight w:val="yellow"/>
        </w:rPr>
        <w:t>le</w:t>
      </w:r>
      <w:r w:rsidR="00B137DB" w:rsidRPr="00A528BB">
        <w:rPr>
          <w:highlight w:val="yellow"/>
        </w:rPr>
        <w:t xml:space="preserve"> coffre-fort</w:t>
      </w:r>
      <w:r w:rsidRPr="00A528BB">
        <w:rPr>
          <w:highlight w:val="yellow"/>
        </w:rPr>
        <w:t>/l’armoire fermée</w:t>
      </w:r>
      <w:r>
        <w:t xml:space="preserve"> à clé</w:t>
      </w:r>
      <w:r w:rsidR="00B137DB">
        <w:t xml:space="preserve"> situé</w:t>
      </w:r>
      <w:r>
        <w:t xml:space="preserve">(e)(e) </w:t>
      </w:r>
      <w:r w:rsidRPr="008236F5">
        <w:rPr>
          <w:highlight w:val="yellow"/>
        </w:rPr>
        <w:t>………………………………………</w:t>
      </w:r>
      <w:r>
        <w:t xml:space="preserve"> </w:t>
      </w:r>
    </w:p>
    <w:p w14:paraId="2EEFDF16" w14:textId="77777777" w:rsidR="008236F5" w:rsidRDefault="008236F5" w:rsidP="008236F5">
      <w:pPr>
        <w:pStyle w:val="Paragraphedeliste"/>
        <w:ind w:left="345" w:firstLine="0"/>
      </w:pPr>
    </w:p>
    <w:p w14:paraId="434E0FA8" w14:textId="77777777" w:rsidR="008236F5" w:rsidRDefault="00B137DB" w:rsidP="008236F5">
      <w:pPr>
        <w:pStyle w:val="Paragraphedeliste"/>
        <w:numPr>
          <w:ilvl w:val="0"/>
          <w:numId w:val="3"/>
        </w:numPr>
      </w:pPr>
      <w:r>
        <w:t xml:space="preserve">La caisse permet d’effectuer les règlements suivants : </w:t>
      </w:r>
      <w:r w:rsidR="008236F5" w:rsidRPr="008236F5">
        <w:rPr>
          <w:i/>
          <w:highlight w:val="yellow"/>
        </w:rPr>
        <w:t>achats de petites fournitures d’entretien/</w:t>
      </w:r>
      <w:r w:rsidRPr="008236F5">
        <w:rPr>
          <w:highlight w:val="yellow"/>
        </w:rPr>
        <w:t>…</w:t>
      </w:r>
      <w:r>
        <w:t xml:space="preserve"> </w:t>
      </w:r>
    </w:p>
    <w:p w14:paraId="24BB7082" w14:textId="77777777" w:rsidR="008236F5" w:rsidRDefault="008236F5" w:rsidP="008236F5">
      <w:pPr>
        <w:pStyle w:val="Paragraphedeliste"/>
        <w:ind w:left="345" w:firstLine="0"/>
      </w:pPr>
    </w:p>
    <w:p w14:paraId="45D7E1D9" w14:textId="77777777" w:rsidR="008236F5" w:rsidRDefault="008236F5" w:rsidP="008236F5">
      <w:pPr>
        <w:pStyle w:val="Paragraphedeliste"/>
        <w:numPr>
          <w:ilvl w:val="0"/>
          <w:numId w:val="3"/>
        </w:numPr>
        <w:spacing w:after="0" w:line="259" w:lineRule="auto"/>
      </w:pPr>
      <w:r>
        <w:t xml:space="preserve">La valeur en caisse est limitée à </w:t>
      </w:r>
      <w:r w:rsidRPr="008236F5">
        <w:rPr>
          <w:highlight w:val="yellow"/>
        </w:rPr>
        <w:t>XXX €</w:t>
      </w:r>
      <w:r>
        <w:t>.</w:t>
      </w:r>
    </w:p>
    <w:p w14:paraId="06002BA2" w14:textId="1D20E71F" w:rsidR="008236F5" w:rsidRDefault="008236F5" w:rsidP="008236F5">
      <w:pPr>
        <w:pStyle w:val="Paragraphedeliste"/>
        <w:spacing w:after="0" w:line="259" w:lineRule="auto"/>
        <w:ind w:left="345" w:firstLine="0"/>
      </w:pPr>
      <w:r>
        <w:t xml:space="preserve">Au-delà de ce seuil, des </w:t>
      </w:r>
      <w:r w:rsidRPr="003079C1">
        <w:rPr>
          <w:b/>
        </w:rPr>
        <w:t>remises en banque</w:t>
      </w:r>
      <w:r>
        <w:t xml:space="preserve"> sont effectuées par </w:t>
      </w:r>
      <w:r w:rsidRPr="008236F5">
        <w:rPr>
          <w:highlight w:val="yellow"/>
        </w:rPr>
        <w:t>M…… (</w:t>
      </w:r>
      <w:r w:rsidRPr="008236F5">
        <w:rPr>
          <w:i/>
          <w:highlight w:val="yellow"/>
        </w:rPr>
        <w:t>secrétaire/comptable/etc.</w:t>
      </w:r>
      <w:r w:rsidRPr="008236F5">
        <w:rPr>
          <w:highlight w:val="yellow"/>
        </w:rPr>
        <w:t>)</w:t>
      </w:r>
      <w:r>
        <w:t xml:space="preserve"> suivant la procédure suivante :</w:t>
      </w:r>
    </w:p>
    <w:p w14:paraId="4F96AB9C" w14:textId="77777777" w:rsidR="008236F5" w:rsidRDefault="008236F5" w:rsidP="008236F5">
      <w:pPr>
        <w:pStyle w:val="Paragraphedeliste"/>
        <w:numPr>
          <w:ilvl w:val="1"/>
          <w:numId w:val="3"/>
        </w:numPr>
        <w:spacing w:after="0" w:line="259" w:lineRule="auto"/>
      </w:pPr>
      <w:r w:rsidRPr="008236F5">
        <w:rPr>
          <w:highlight w:val="yellow"/>
        </w:rPr>
        <w:t>M…… (</w:t>
      </w:r>
      <w:r w:rsidRPr="008236F5">
        <w:rPr>
          <w:i/>
          <w:highlight w:val="yellow"/>
        </w:rPr>
        <w:t>secrétaire/comptable/etc.</w:t>
      </w:r>
      <w:r w:rsidRPr="008236F5">
        <w:rPr>
          <w:highlight w:val="yellow"/>
        </w:rPr>
        <w:t>)</w:t>
      </w:r>
      <w:r>
        <w:t xml:space="preserve"> prépare la remise d’espèces en remplissant le bordereau de banque (date, somme versée, objet). </w:t>
      </w:r>
    </w:p>
    <w:p w14:paraId="62425DA1" w14:textId="4824DC17" w:rsidR="008236F5" w:rsidRDefault="008236F5" w:rsidP="008236F5">
      <w:pPr>
        <w:pStyle w:val="Paragraphedeliste"/>
        <w:numPr>
          <w:ilvl w:val="1"/>
          <w:numId w:val="3"/>
        </w:numPr>
        <w:spacing w:after="0" w:line="259" w:lineRule="auto"/>
      </w:pPr>
      <w:r w:rsidRPr="008236F5">
        <w:rPr>
          <w:highlight w:val="yellow"/>
        </w:rPr>
        <w:t>M…… (</w:t>
      </w:r>
      <w:r w:rsidRPr="008236F5">
        <w:rPr>
          <w:i/>
          <w:highlight w:val="yellow"/>
        </w:rPr>
        <w:t>secrétaire/comptable/etc.</w:t>
      </w:r>
      <w:r w:rsidRPr="008236F5">
        <w:rPr>
          <w:highlight w:val="yellow"/>
        </w:rPr>
        <w:t>)</w:t>
      </w:r>
      <w:r>
        <w:t xml:space="preserve"> transmet la remise d’espèces à </w:t>
      </w:r>
      <w:r w:rsidRPr="008236F5">
        <w:rPr>
          <w:highlight w:val="yellow"/>
        </w:rPr>
        <w:t>M…… (</w:t>
      </w:r>
      <w:r w:rsidRPr="008236F5">
        <w:rPr>
          <w:i/>
          <w:highlight w:val="yellow"/>
        </w:rPr>
        <w:t>chef d’établissement / trésorier/DAF/etc.</w:t>
      </w:r>
      <w:r w:rsidRPr="008236F5">
        <w:rPr>
          <w:highlight w:val="yellow"/>
        </w:rPr>
        <w:t>)</w:t>
      </w:r>
      <w:r>
        <w:t xml:space="preserve"> pour vérification et signature selon les délégations accordées.</w:t>
      </w:r>
    </w:p>
    <w:p w14:paraId="270EE127" w14:textId="014BF04B" w:rsidR="008236F5" w:rsidRDefault="008236F5" w:rsidP="008236F5">
      <w:pPr>
        <w:pStyle w:val="Paragraphedeliste"/>
        <w:numPr>
          <w:ilvl w:val="1"/>
          <w:numId w:val="3"/>
        </w:numPr>
        <w:spacing w:after="0" w:line="259" w:lineRule="auto"/>
      </w:pPr>
      <w:r>
        <w:t>M…… (</w:t>
      </w:r>
      <w:r w:rsidR="00A0074F" w:rsidRPr="008236F5">
        <w:rPr>
          <w:i/>
          <w:highlight w:val="yellow"/>
        </w:rPr>
        <w:t>secrétaire/comptable/etc.</w:t>
      </w:r>
      <w:r w:rsidR="00A0074F" w:rsidRPr="008236F5">
        <w:rPr>
          <w:highlight w:val="yellow"/>
        </w:rPr>
        <w:t>)</w:t>
      </w:r>
      <w:r w:rsidR="00A0074F">
        <w:t xml:space="preserve"> </w:t>
      </w:r>
      <w:r>
        <w:t xml:space="preserve">dépose les remises d’espèces en banque. Le double de la remise d’espèces est conservé dans le dossier bancaire. </w:t>
      </w:r>
    </w:p>
    <w:p w14:paraId="00E04BB8" w14:textId="77777777" w:rsidR="008236F5" w:rsidRDefault="008236F5">
      <w:pPr>
        <w:ind w:left="-5"/>
      </w:pPr>
    </w:p>
    <w:p w14:paraId="37C58E50" w14:textId="23FB738B" w:rsidR="003079C1" w:rsidRDefault="00B137DB" w:rsidP="003079C1">
      <w:pPr>
        <w:pStyle w:val="Paragraphedeliste"/>
        <w:numPr>
          <w:ilvl w:val="0"/>
          <w:numId w:val="3"/>
        </w:numPr>
      </w:pPr>
      <w:r w:rsidRPr="003079C1">
        <w:rPr>
          <w:b/>
        </w:rPr>
        <w:t>En cas de règlement</w:t>
      </w:r>
      <w:r w:rsidR="007600F4">
        <w:rPr>
          <w:b/>
        </w:rPr>
        <w:t xml:space="preserve"> en espèces</w:t>
      </w:r>
      <w:r w:rsidR="003079C1">
        <w:t> :</w:t>
      </w:r>
    </w:p>
    <w:p w14:paraId="30F15CF2" w14:textId="3F7001FA" w:rsidR="003079C1" w:rsidRDefault="00B137DB" w:rsidP="003079C1">
      <w:pPr>
        <w:pStyle w:val="Paragraphedeliste"/>
        <w:numPr>
          <w:ilvl w:val="1"/>
          <w:numId w:val="3"/>
        </w:numPr>
      </w:pPr>
      <w:r w:rsidRPr="003079C1">
        <w:rPr>
          <w:highlight w:val="yellow"/>
        </w:rPr>
        <w:t>M…… (</w:t>
      </w:r>
      <w:r w:rsidRPr="003079C1">
        <w:rPr>
          <w:i/>
          <w:highlight w:val="yellow"/>
        </w:rPr>
        <w:t>fonction</w:t>
      </w:r>
      <w:r w:rsidR="003079C1" w:rsidRPr="003079C1">
        <w:rPr>
          <w:i/>
          <w:highlight w:val="yellow"/>
        </w:rPr>
        <w:t xml:space="preserve"> – secrétaire/comptable</w:t>
      </w:r>
      <w:r w:rsidRPr="003079C1">
        <w:rPr>
          <w:highlight w:val="yellow"/>
        </w:rPr>
        <w:t>)</w:t>
      </w:r>
      <w:r>
        <w:t xml:space="preserve"> </w:t>
      </w:r>
      <w:r w:rsidRPr="00DD015D">
        <w:rPr>
          <w:color w:val="auto"/>
        </w:rPr>
        <w:t xml:space="preserve">édite un reçu </w:t>
      </w:r>
      <w:r w:rsidR="00DD015D" w:rsidRPr="00DD015D">
        <w:rPr>
          <w:color w:val="auto"/>
        </w:rPr>
        <w:t xml:space="preserve">d’espèces </w:t>
      </w:r>
      <w:r w:rsidRPr="00DD015D">
        <w:rPr>
          <w:color w:val="auto"/>
        </w:rPr>
        <w:t xml:space="preserve">qu’il </w:t>
      </w:r>
      <w:r w:rsidR="00C0752E">
        <w:rPr>
          <w:color w:val="auto"/>
        </w:rPr>
        <w:t>fait signer</w:t>
      </w:r>
      <w:r w:rsidRPr="00DD015D">
        <w:rPr>
          <w:color w:val="auto"/>
        </w:rPr>
        <w:t xml:space="preserve"> </w:t>
      </w:r>
      <w:r w:rsidR="00346EB6" w:rsidRPr="00DD015D">
        <w:rPr>
          <w:color w:val="auto"/>
        </w:rPr>
        <w:t xml:space="preserve">à la personne </w:t>
      </w:r>
      <w:r w:rsidR="00041A98" w:rsidRPr="00DD015D">
        <w:rPr>
          <w:color w:val="auto"/>
        </w:rPr>
        <w:t>en charge de l’achat et du règlement</w:t>
      </w:r>
      <w:r w:rsidR="00DD015D" w:rsidRPr="00DD015D">
        <w:rPr>
          <w:color w:val="auto"/>
        </w:rPr>
        <w:t> ;</w:t>
      </w:r>
    </w:p>
    <w:p w14:paraId="3687729A" w14:textId="38FE41D8" w:rsidR="003079C1" w:rsidRDefault="00B137DB" w:rsidP="003079C1">
      <w:pPr>
        <w:pStyle w:val="Paragraphedeliste"/>
        <w:numPr>
          <w:ilvl w:val="1"/>
          <w:numId w:val="3"/>
        </w:numPr>
      </w:pPr>
      <w:r w:rsidRPr="003079C1">
        <w:rPr>
          <w:highlight w:val="yellow"/>
        </w:rPr>
        <w:t>M……. (fonction</w:t>
      </w:r>
      <w:r w:rsidR="003079C1">
        <w:rPr>
          <w:highlight w:val="yellow"/>
        </w:rPr>
        <w:t xml:space="preserve"> </w:t>
      </w:r>
      <w:r w:rsidR="003079C1" w:rsidRPr="003079C1">
        <w:rPr>
          <w:i/>
          <w:highlight w:val="yellow"/>
        </w:rPr>
        <w:t>– secrétaire/comptable</w:t>
      </w:r>
      <w:r w:rsidRPr="003079C1">
        <w:rPr>
          <w:highlight w:val="yellow"/>
        </w:rPr>
        <w:t>)</w:t>
      </w:r>
      <w:r w:rsidR="003079C1">
        <w:t xml:space="preserve"> </w:t>
      </w:r>
      <w:r w:rsidR="00041A98">
        <w:t>récupère</w:t>
      </w:r>
      <w:r w:rsidR="003079C1">
        <w:t xml:space="preserve"> la facture</w:t>
      </w:r>
      <w:r w:rsidR="00041A98">
        <w:t xml:space="preserve"> d’achat sur laquelle doit figurer</w:t>
      </w:r>
      <w:r>
        <w:t xml:space="preserve"> le montant réglé en espèce</w:t>
      </w:r>
      <w:r w:rsidR="00790DC2">
        <w:t>s</w:t>
      </w:r>
      <w:r w:rsidR="003079C1">
        <w:t xml:space="preserve">, </w:t>
      </w:r>
      <w:r w:rsidR="00041A98">
        <w:t>et y joint le reçu</w:t>
      </w:r>
      <w:r w:rsidR="00386790">
        <w:t xml:space="preserve"> d’espèces</w:t>
      </w:r>
      <w:r w:rsidR="003079C1">
        <w:t>.</w:t>
      </w:r>
    </w:p>
    <w:p w14:paraId="05444AC0" w14:textId="283B0303" w:rsidR="003273FA" w:rsidRDefault="00B137DB" w:rsidP="003079C1">
      <w:pPr>
        <w:pStyle w:val="Paragraphedeliste"/>
        <w:numPr>
          <w:ilvl w:val="1"/>
          <w:numId w:val="3"/>
        </w:numPr>
      </w:pPr>
      <w:r w:rsidRPr="0085729B">
        <w:rPr>
          <w:highlight w:val="yellow"/>
        </w:rPr>
        <w:t>M…… (fonction</w:t>
      </w:r>
      <w:r w:rsidR="003079C1" w:rsidRPr="003079C1">
        <w:rPr>
          <w:i/>
          <w:highlight w:val="yellow"/>
        </w:rPr>
        <w:t>– secrétaire/comptable</w:t>
      </w:r>
      <w:r>
        <w:t>) transmet la facture à la comptabilité</w:t>
      </w:r>
      <w:r w:rsidR="00386790">
        <w:t xml:space="preserve"> pour </w:t>
      </w:r>
      <w:r w:rsidR="0085729B">
        <w:t>enregistre</w:t>
      </w:r>
      <w:r w:rsidR="00386790">
        <w:t>ment</w:t>
      </w:r>
      <w:r>
        <w:t xml:space="preserve">. </w:t>
      </w:r>
    </w:p>
    <w:p w14:paraId="27F46232" w14:textId="77777777" w:rsidR="003079C1" w:rsidRDefault="003079C1" w:rsidP="003079C1">
      <w:pPr>
        <w:pStyle w:val="Paragraphedeliste"/>
        <w:ind w:left="345" w:firstLine="0"/>
      </w:pPr>
    </w:p>
    <w:p w14:paraId="6567E5B6" w14:textId="5E78878B" w:rsidR="0085729B" w:rsidRDefault="00B137DB" w:rsidP="003079C1">
      <w:pPr>
        <w:pStyle w:val="Paragraphedeliste"/>
        <w:numPr>
          <w:ilvl w:val="0"/>
          <w:numId w:val="3"/>
        </w:numPr>
      </w:pPr>
      <w:r w:rsidRPr="003079C1">
        <w:rPr>
          <w:b/>
        </w:rPr>
        <w:t>En cas d’encaissement</w:t>
      </w:r>
      <w:r w:rsidR="002B49FE">
        <w:rPr>
          <w:b/>
        </w:rPr>
        <w:t xml:space="preserve"> d’espèces</w:t>
      </w:r>
      <w:r w:rsidR="0085729B">
        <w:t> :</w:t>
      </w:r>
    </w:p>
    <w:p w14:paraId="5DE4773E" w14:textId="76E3BA65" w:rsidR="003273FA" w:rsidRDefault="00B137DB" w:rsidP="0085729B">
      <w:pPr>
        <w:pStyle w:val="Paragraphedeliste"/>
        <w:numPr>
          <w:ilvl w:val="1"/>
          <w:numId w:val="3"/>
        </w:numPr>
      </w:pPr>
      <w:r w:rsidRPr="002B49FE">
        <w:rPr>
          <w:highlight w:val="yellow"/>
        </w:rPr>
        <w:t>M…… (fonction</w:t>
      </w:r>
      <w:r w:rsidR="00790DC2">
        <w:t xml:space="preserve"> </w:t>
      </w:r>
      <w:r w:rsidR="00790DC2" w:rsidRPr="003079C1">
        <w:rPr>
          <w:i/>
          <w:highlight w:val="yellow"/>
        </w:rPr>
        <w:t>– secrétaire/comptable</w:t>
      </w:r>
      <w:r>
        <w:t xml:space="preserve">) </w:t>
      </w:r>
      <w:r w:rsidR="00DC3DE6">
        <w:t>émet un reçu indiquant</w:t>
      </w:r>
      <w:r w:rsidR="00C16AEA">
        <w:t xml:space="preserve"> le </w:t>
      </w:r>
      <w:r>
        <w:t>nom</w:t>
      </w:r>
      <w:r w:rsidR="00C16AEA">
        <w:t xml:space="preserve"> du payeur</w:t>
      </w:r>
      <w:r>
        <w:t xml:space="preserve">, </w:t>
      </w:r>
      <w:r w:rsidR="00C16AEA">
        <w:t>le motif</w:t>
      </w:r>
      <w:r>
        <w:t xml:space="preserve"> de règlement</w:t>
      </w:r>
      <w:r w:rsidR="00C16AEA">
        <w:t xml:space="preserve"> et la</w:t>
      </w:r>
      <w:r>
        <w:t xml:space="preserve"> date</w:t>
      </w:r>
      <w:r w:rsidR="00BE26F7">
        <w:t>,</w:t>
      </w:r>
      <w:r>
        <w:t xml:space="preserve"> </w:t>
      </w:r>
      <w:r w:rsidR="001A71C9">
        <w:t>en double exemplaire dont un est remis au payeur.</w:t>
      </w:r>
    </w:p>
    <w:p w14:paraId="20BF7698" w14:textId="77777777" w:rsidR="00790DC2" w:rsidRDefault="00790DC2" w:rsidP="00790DC2">
      <w:pPr>
        <w:pStyle w:val="Paragraphedeliste"/>
        <w:spacing w:after="159" w:line="259" w:lineRule="auto"/>
        <w:ind w:left="345" w:firstLine="0"/>
      </w:pPr>
    </w:p>
    <w:p w14:paraId="6C355C5D" w14:textId="43D94AC5" w:rsidR="0085729B" w:rsidRDefault="00B137DB" w:rsidP="00790DC2">
      <w:pPr>
        <w:pStyle w:val="Paragraphedeliste"/>
        <w:numPr>
          <w:ilvl w:val="0"/>
          <w:numId w:val="3"/>
        </w:numPr>
        <w:spacing w:after="159" w:line="259" w:lineRule="auto"/>
      </w:pPr>
      <w:r>
        <w:t xml:space="preserve">L’ensemble des encaissements et décaissements sont répertoriés dans un </w:t>
      </w:r>
      <w:r w:rsidR="003C6BA6">
        <w:rPr>
          <w:b/>
        </w:rPr>
        <w:t>livre</w:t>
      </w:r>
      <w:r w:rsidRPr="00790DC2">
        <w:rPr>
          <w:b/>
        </w:rPr>
        <w:t xml:space="preserve"> de caisse</w:t>
      </w:r>
      <w:r>
        <w:t xml:space="preserve"> tenu </w:t>
      </w:r>
      <w:r w:rsidR="00790DC2">
        <w:t xml:space="preserve">par </w:t>
      </w:r>
      <w:r w:rsidRPr="0085729B">
        <w:rPr>
          <w:highlight w:val="yellow"/>
        </w:rPr>
        <w:t>M…… (fonction</w:t>
      </w:r>
      <w:r w:rsidR="0085729B" w:rsidRPr="0085729B">
        <w:rPr>
          <w:highlight w:val="yellow"/>
        </w:rPr>
        <w:t xml:space="preserve"> -</w:t>
      </w:r>
      <w:r w:rsidR="0085729B" w:rsidRPr="0085729B">
        <w:rPr>
          <w:i/>
          <w:highlight w:val="yellow"/>
        </w:rPr>
        <w:t xml:space="preserve"> secrétaire/comptable</w:t>
      </w:r>
      <w:r w:rsidRPr="0085729B">
        <w:rPr>
          <w:highlight w:val="yellow"/>
        </w:rPr>
        <w:t>).</w:t>
      </w:r>
      <w:r>
        <w:t xml:space="preserve"> Les doubles des reçus ou une copie sont conservés et agrafés dans le </w:t>
      </w:r>
      <w:r w:rsidR="003C6BA6">
        <w:t>livre</w:t>
      </w:r>
      <w:r>
        <w:t xml:space="preserve"> de caisse</w:t>
      </w:r>
      <w:r w:rsidR="0085729B">
        <w:t>.</w:t>
      </w:r>
    </w:p>
    <w:p w14:paraId="56254FFF" w14:textId="77777777" w:rsidR="003273FA" w:rsidRDefault="0085729B" w:rsidP="00790DC2">
      <w:pPr>
        <w:pStyle w:val="Paragraphedeliste"/>
        <w:numPr>
          <w:ilvl w:val="0"/>
          <w:numId w:val="3"/>
        </w:numPr>
        <w:spacing w:after="159" w:line="259" w:lineRule="auto"/>
      </w:pPr>
      <w:r w:rsidRPr="0085729B">
        <w:rPr>
          <w:highlight w:val="yellow"/>
        </w:rPr>
        <w:t>M…… (fonction -</w:t>
      </w:r>
      <w:r w:rsidRPr="0085729B">
        <w:rPr>
          <w:i/>
          <w:highlight w:val="yellow"/>
        </w:rPr>
        <w:t xml:space="preserve"> secrétaire/comptable</w:t>
      </w:r>
      <w:r w:rsidRPr="0085729B">
        <w:rPr>
          <w:highlight w:val="yellow"/>
        </w:rPr>
        <w:t>)</w:t>
      </w:r>
      <w:r>
        <w:t xml:space="preserve"> </w:t>
      </w:r>
      <w:r w:rsidR="00B137DB">
        <w:t xml:space="preserve">calcule le solde de caisse après chaque mouvement. </w:t>
      </w:r>
    </w:p>
    <w:p w14:paraId="707ADF59" w14:textId="77777777" w:rsidR="00BA71BB" w:rsidRDefault="00BA71BB" w:rsidP="00BA71BB">
      <w:pPr>
        <w:pStyle w:val="Paragraphedeliste"/>
        <w:spacing w:after="159" w:line="259" w:lineRule="auto"/>
        <w:ind w:left="345" w:firstLine="0"/>
      </w:pPr>
    </w:p>
    <w:p w14:paraId="34D740E2" w14:textId="4F4A4B61" w:rsidR="00BA71BB" w:rsidRDefault="009461E1" w:rsidP="00BA71BB">
      <w:pPr>
        <w:pStyle w:val="Paragraphedeliste"/>
        <w:numPr>
          <w:ilvl w:val="0"/>
          <w:numId w:val="3"/>
        </w:numPr>
        <w:spacing w:after="159" w:line="259" w:lineRule="auto"/>
      </w:pPr>
      <w:r>
        <w:t xml:space="preserve">De façon hebdomadaire </w:t>
      </w:r>
      <w:r w:rsidR="004A53F8">
        <w:t>ou mensuelle (</w:t>
      </w:r>
      <w:r w:rsidR="00F112FD" w:rsidRPr="0093158B">
        <w:rPr>
          <w:highlight w:val="yellow"/>
        </w:rPr>
        <w:t xml:space="preserve">périodicité à définir en fonction de la </w:t>
      </w:r>
      <w:r w:rsidR="0093158B" w:rsidRPr="0093158B">
        <w:rPr>
          <w:highlight w:val="yellow"/>
        </w:rPr>
        <w:t>fréquence des mouvements de caisse</w:t>
      </w:r>
      <w:r w:rsidR="0093158B">
        <w:t>)</w:t>
      </w:r>
      <w:r w:rsidR="00B137DB">
        <w:t xml:space="preserve">, </w:t>
      </w:r>
      <w:r w:rsidR="00B137DB" w:rsidRPr="00595415">
        <w:rPr>
          <w:highlight w:val="yellow"/>
        </w:rPr>
        <w:t>M…… (</w:t>
      </w:r>
      <w:r w:rsidR="00B137DB" w:rsidRPr="00BA71BB">
        <w:rPr>
          <w:highlight w:val="yellow"/>
        </w:rPr>
        <w:t>fonction</w:t>
      </w:r>
      <w:r w:rsidR="00BA71BB" w:rsidRPr="00BA71BB">
        <w:rPr>
          <w:highlight w:val="yellow"/>
        </w:rPr>
        <w:t xml:space="preserve"> – </w:t>
      </w:r>
      <w:r w:rsidR="00BA71BB" w:rsidRPr="00BA71BB">
        <w:rPr>
          <w:i/>
          <w:highlight w:val="yellow"/>
        </w:rPr>
        <w:t>Comptable/DAF</w:t>
      </w:r>
      <w:r w:rsidR="00B137DB" w:rsidRPr="00BA71BB">
        <w:rPr>
          <w:highlight w:val="yellow"/>
        </w:rPr>
        <w:t>)</w:t>
      </w:r>
      <w:r w:rsidR="00B137DB">
        <w:t xml:space="preserve"> effectue un </w:t>
      </w:r>
      <w:r w:rsidR="00B137DB" w:rsidRPr="00BA71BB">
        <w:rPr>
          <w:b/>
        </w:rPr>
        <w:t xml:space="preserve">inventaire </w:t>
      </w:r>
      <w:r w:rsidR="00595415">
        <w:rPr>
          <w:b/>
        </w:rPr>
        <w:t xml:space="preserve">physique </w:t>
      </w:r>
      <w:r w:rsidR="00B137DB" w:rsidRPr="00BA71BB">
        <w:rPr>
          <w:b/>
        </w:rPr>
        <w:t>de</w:t>
      </w:r>
      <w:r w:rsidR="00595415">
        <w:rPr>
          <w:b/>
        </w:rPr>
        <w:t xml:space="preserve"> la</w:t>
      </w:r>
      <w:r w:rsidR="00B137DB" w:rsidRPr="00BA71BB">
        <w:rPr>
          <w:b/>
        </w:rPr>
        <w:t xml:space="preserve"> caisse</w:t>
      </w:r>
      <w:r w:rsidR="00B137DB">
        <w:t xml:space="preserve"> qu’il rapproche et forma</w:t>
      </w:r>
      <w:r w:rsidR="00BA71BB">
        <w:t xml:space="preserve">lise avec le </w:t>
      </w:r>
      <w:r w:rsidR="003C6BA6">
        <w:t>livre</w:t>
      </w:r>
      <w:r w:rsidR="00BA71BB">
        <w:t xml:space="preserve"> de caisse.</w:t>
      </w:r>
    </w:p>
    <w:p w14:paraId="40E0F924" w14:textId="11443491" w:rsidR="003273FA" w:rsidRDefault="00B137DB" w:rsidP="00BA71BB">
      <w:pPr>
        <w:pStyle w:val="Paragraphedeliste"/>
        <w:numPr>
          <w:ilvl w:val="0"/>
          <w:numId w:val="3"/>
        </w:numPr>
        <w:spacing w:after="159" w:line="259" w:lineRule="auto"/>
      </w:pPr>
      <w:r>
        <w:t xml:space="preserve">Cet inventaire est </w:t>
      </w:r>
      <w:r w:rsidRPr="00A80A74">
        <w:rPr>
          <w:b/>
          <w:bCs/>
        </w:rPr>
        <w:t xml:space="preserve">contrôlé et </w:t>
      </w:r>
      <w:r w:rsidR="00BA71BB" w:rsidRPr="00A80A74">
        <w:rPr>
          <w:b/>
          <w:bCs/>
        </w:rPr>
        <w:t>sign</w:t>
      </w:r>
      <w:r w:rsidR="005A7CDE" w:rsidRPr="00A80A74">
        <w:rPr>
          <w:b/>
          <w:bCs/>
        </w:rPr>
        <w:t>é</w:t>
      </w:r>
      <w:r w:rsidR="005A7CDE">
        <w:t xml:space="preserve"> </w:t>
      </w:r>
      <w:r>
        <w:t xml:space="preserve">par </w:t>
      </w:r>
      <w:r w:rsidRPr="00BA71BB">
        <w:rPr>
          <w:highlight w:val="yellow"/>
        </w:rPr>
        <w:t>M…… (fonction</w:t>
      </w:r>
      <w:r w:rsidR="00BA71BB" w:rsidRPr="00BA71BB">
        <w:rPr>
          <w:highlight w:val="yellow"/>
        </w:rPr>
        <w:t xml:space="preserve"> - </w:t>
      </w:r>
      <w:r w:rsidR="00BA71BB" w:rsidRPr="00BA71BB">
        <w:rPr>
          <w:i/>
          <w:highlight w:val="yellow"/>
        </w:rPr>
        <w:t>DAF/Trésorier</w:t>
      </w:r>
      <w:r w:rsidRPr="00BA71BB">
        <w:rPr>
          <w:highlight w:val="yellow"/>
        </w:rPr>
        <w:t>).</w:t>
      </w:r>
      <w:r>
        <w:t xml:space="preserve"> </w:t>
      </w:r>
    </w:p>
    <w:p w14:paraId="11C2A828" w14:textId="77777777" w:rsidR="00BA71BB" w:rsidRDefault="00BA71BB" w:rsidP="00BA71BB">
      <w:pPr>
        <w:pStyle w:val="Paragraphedeliste"/>
        <w:ind w:left="345" w:firstLine="0"/>
      </w:pPr>
    </w:p>
    <w:p w14:paraId="73B9C458" w14:textId="2A42571F" w:rsidR="003273FA" w:rsidRDefault="00B137DB" w:rsidP="00BA71BB">
      <w:pPr>
        <w:pStyle w:val="Paragraphedeliste"/>
        <w:numPr>
          <w:ilvl w:val="0"/>
          <w:numId w:val="3"/>
        </w:numPr>
      </w:pPr>
      <w:r>
        <w:t xml:space="preserve">Le </w:t>
      </w:r>
      <w:r w:rsidR="003C6BA6">
        <w:t>livre</w:t>
      </w:r>
      <w:r>
        <w:t xml:space="preserve"> de caisse est transmis au service comptable de façon hebdomadaire par </w:t>
      </w:r>
      <w:r w:rsidRPr="00BA71BB">
        <w:rPr>
          <w:highlight w:val="yellow"/>
        </w:rPr>
        <w:t>M…… (fonction</w:t>
      </w:r>
      <w:r w:rsidR="00BA71BB" w:rsidRPr="00BA71BB">
        <w:rPr>
          <w:highlight w:val="yellow"/>
        </w:rPr>
        <w:t xml:space="preserve"> - </w:t>
      </w:r>
      <w:r w:rsidR="00BA71BB" w:rsidRPr="00BA71BB">
        <w:rPr>
          <w:i/>
          <w:highlight w:val="yellow"/>
        </w:rPr>
        <w:t>secrétaire</w:t>
      </w:r>
      <w:r w:rsidRPr="00BA71BB">
        <w:rPr>
          <w:highlight w:val="yellow"/>
        </w:rPr>
        <w:t>)</w:t>
      </w:r>
      <w:r>
        <w:t xml:space="preserve"> pour </w:t>
      </w:r>
      <w:r w:rsidR="00BA71BB">
        <w:t xml:space="preserve">la </w:t>
      </w:r>
      <w:r>
        <w:t xml:space="preserve">comptabilisation des écritures. </w:t>
      </w:r>
    </w:p>
    <w:p w14:paraId="146E275C" w14:textId="77777777" w:rsidR="003273FA" w:rsidRDefault="003273FA">
      <w:pPr>
        <w:spacing w:line="259" w:lineRule="auto"/>
        <w:ind w:left="0" w:firstLine="0"/>
      </w:pPr>
    </w:p>
    <w:sectPr w:rsidR="003273FA">
      <w:pgSz w:w="11906" w:h="16838"/>
      <w:pgMar w:top="857" w:right="856" w:bottom="93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7644A"/>
    <w:multiLevelType w:val="hybridMultilevel"/>
    <w:tmpl w:val="726067DC"/>
    <w:lvl w:ilvl="0" w:tplc="CD7C8996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EFDC2">
      <w:start w:val="1"/>
      <w:numFmt w:val="bullet"/>
      <w:lvlText w:val="o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656F0">
      <w:start w:val="1"/>
      <w:numFmt w:val="bullet"/>
      <w:lvlText w:val="▪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4C429A">
      <w:start w:val="1"/>
      <w:numFmt w:val="bullet"/>
      <w:lvlText w:val="•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A0781C">
      <w:start w:val="1"/>
      <w:numFmt w:val="bullet"/>
      <w:lvlText w:val="o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00DB2">
      <w:start w:val="1"/>
      <w:numFmt w:val="bullet"/>
      <w:lvlText w:val="▪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AD2DE">
      <w:start w:val="1"/>
      <w:numFmt w:val="bullet"/>
      <w:lvlText w:val="•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C402A">
      <w:start w:val="1"/>
      <w:numFmt w:val="bullet"/>
      <w:lvlText w:val="o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204B8">
      <w:start w:val="1"/>
      <w:numFmt w:val="bullet"/>
      <w:lvlText w:val="▪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2C7B47"/>
    <w:multiLevelType w:val="hybridMultilevel"/>
    <w:tmpl w:val="326CC514"/>
    <w:lvl w:ilvl="0" w:tplc="3216D7A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78BE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D484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A054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5880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0BC3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E98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FA68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7801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671537"/>
    <w:multiLevelType w:val="hybridMultilevel"/>
    <w:tmpl w:val="41C6BE36"/>
    <w:lvl w:ilvl="0" w:tplc="CDB65B48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FA"/>
    <w:rsid w:val="00013B6D"/>
    <w:rsid w:val="00041A98"/>
    <w:rsid w:val="00071EE2"/>
    <w:rsid w:val="0015314B"/>
    <w:rsid w:val="001A71C9"/>
    <w:rsid w:val="001F7995"/>
    <w:rsid w:val="0029668E"/>
    <w:rsid w:val="002B49FE"/>
    <w:rsid w:val="003079C1"/>
    <w:rsid w:val="003273FA"/>
    <w:rsid w:val="00346EB6"/>
    <w:rsid w:val="00386790"/>
    <w:rsid w:val="003C6BA6"/>
    <w:rsid w:val="004A53F8"/>
    <w:rsid w:val="00595415"/>
    <w:rsid w:val="005A7CDE"/>
    <w:rsid w:val="00607A60"/>
    <w:rsid w:val="00645CB6"/>
    <w:rsid w:val="007600F4"/>
    <w:rsid w:val="00790DC2"/>
    <w:rsid w:val="008236F5"/>
    <w:rsid w:val="0085729B"/>
    <w:rsid w:val="008E6F1F"/>
    <w:rsid w:val="0093158B"/>
    <w:rsid w:val="009461E1"/>
    <w:rsid w:val="00A0074F"/>
    <w:rsid w:val="00A528BB"/>
    <w:rsid w:val="00A80A74"/>
    <w:rsid w:val="00B137DB"/>
    <w:rsid w:val="00BA71BB"/>
    <w:rsid w:val="00BD64BB"/>
    <w:rsid w:val="00BE26F7"/>
    <w:rsid w:val="00C0752E"/>
    <w:rsid w:val="00C16AEA"/>
    <w:rsid w:val="00C92FB1"/>
    <w:rsid w:val="00CA3B5D"/>
    <w:rsid w:val="00CB404E"/>
    <w:rsid w:val="00DC3DE6"/>
    <w:rsid w:val="00DD015D"/>
    <w:rsid w:val="00F112FD"/>
    <w:rsid w:val="00F2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0473"/>
  <w15:docId w15:val="{C0402F7A-C1B3-431E-B56F-E8A26B96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1"/>
      <w:ind w:left="10" w:hanging="10"/>
      <w:outlineLvl w:val="0"/>
    </w:pPr>
    <w:rPr>
      <w:rFonts w:ascii="Calibri" w:eastAsia="Calibri" w:hAnsi="Calibri" w:cs="Calibri"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5"/>
      <w:ind w:left="10" w:hanging="10"/>
      <w:outlineLvl w:val="1"/>
    </w:pPr>
    <w:rPr>
      <w:rFonts w:ascii="Calibri" w:eastAsia="Calibri" w:hAnsi="Calibri" w:cs="Calibri"/>
      <w:b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36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82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2" ma:contentTypeDescription="Crée un document." ma:contentTypeScope="" ma:versionID="e92121fbd5df0e2d8bede94155d4a69e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54d7fb3b64a36b252dbbf4a52a3fd417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E6224-A216-4DA5-A0A0-81D93C9857BB}"/>
</file>

<file path=customXml/itemProps2.xml><?xml version="1.0" encoding="utf-8"?>
<ds:datastoreItem xmlns:ds="http://schemas.openxmlformats.org/officeDocument/2006/customXml" ds:itemID="{C6D874DA-8D0C-4172-8CD6-0ED3256B251B}"/>
</file>

<file path=customXml/itemProps3.xml><?xml version="1.0" encoding="utf-8"?>
<ds:datastoreItem xmlns:ds="http://schemas.openxmlformats.org/officeDocument/2006/customXml" ds:itemID="{FCFC0C7B-FF0C-44DE-BF5E-E05D696ED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Madelaine</dc:creator>
  <cp:keywords/>
  <cp:lastModifiedBy>Caroline VANLERBERGHE</cp:lastModifiedBy>
  <cp:revision>2</cp:revision>
  <dcterms:created xsi:type="dcterms:W3CDTF">2021-03-31T10:56:00Z</dcterms:created>
  <dcterms:modified xsi:type="dcterms:W3CDTF">2021-03-31T10:56:00Z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</Properties>
</file>